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4A1FA6" w14:textId="40F16BA9" w:rsidR="005B4212" w:rsidRPr="005B4212" w:rsidRDefault="005B4212" w:rsidP="006773B5">
      <w:pPr>
        <w:pStyle w:val="NoSpacing"/>
        <w:jc w:val="both"/>
      </w:pPr>
      <w:bookmarkStart w:id="0" w:name="_Hlk69286787"/>
      <w:r>
        <w:rPr>
          <w:b/>
          <w:bCs/>
        </w:rPr>
        <w:t>Venue-</w:t>
      </w:r>
      <w:r w:rsidR="0049076F">
        <w:rPr>
          <w:b/>
          <w:bCs/>
        </w:rPr>
        <w:t xml:space="preserve"> </w:t>
      </w:r>
      <w:r w:rsidR="00512D08">
        <w:t>Teams</w:t>
      </w:r>
    </w:p>
    <w:p w14:paraId="2B2DE07F" w14:textId="77777777" w:rsidR="005B4212" w:rsidRDefault="005B4212" w:rsidP="00790554">
      <w:pPr>
        <w:pStyle w:val="NoSpacing"/>
        <w:jc w:val="both"/>
        <w:rPr>
          <w:b/>
          <w:bCs/>
        </w:rPr>
      </w:pPr>
    </w:p>
    <w:p w14:paraId="2C93E8E8" w14:textId="1C46196D" w:rsidR="00FD0D9F" w:rsidRDefault="00FD0D9F" w:rsidP="00790554">
      <w:pPr>
        <w:pStyle w:val="NoSpacing"/>
        <w:jc w:val="both"/>
        <w:rPr>
          <w:b/>
          <w:bCs/>
        </w:rPr>
      </w:pPr>
      <w:r>
        <w:rPr>
          <w:b/>
          <w:bCs/>
        </w:rPr>
        <w:t>Sederunt</w:t>
      </w:r>
    </w:p>
    <w:p w14:paraId="70C5681C" w14:textId="313B939B" w:rsidR="00521E0C" w:rsidRPr="007E6673" w:rsidRDefault="00404357" w:rsidP="004957AA">
      <w:pPr>
        <w:pStyle w:val="ListParagraph"/>
        <w:numPr>
          <w:ilvl w:val="0"/>
          <w:numId w:val="9"/>
        </w:numPr>
        <w:ind w:left="360"/>
        <w:jc w:val="both"/>
        <w:rPr>
          <w:rFonts w:ascii="Calibri" w:eastAsia="Times New Roman" w:hAnsi="Calibri" w:cs="Calibri"/>
          <w:color w:val="000000"/>
          <w:lang w:eastAsia="en-GB"/>
        </w:rPr>
      </w:pPr>
      <w:bookmarkStart w:id="1" w:name="_Hlk177551246"/>
      <w:bookmarkStart w:id="2" w:name="_Hlk72227812"/>
      <w:r>
        <w:t>Drs</w:t>
      </w:r>
      <w:r w:rsidR="00103BAE">
        <w:t xml:space="preserve"> </w:t>
      </w:r>
      <w:r w:rsidR="007F319C">
        <w:t xml:space="preserve">Sally Al-Agilly, </w:t>
      </w:r>
      <w:r w:rsidR="007E6673">
        <w:t xml:space="preserve">Moyna </w:t>
      </w:r>
      <w:r w:rsidR="007E6673" w:rsidRPr="007E6673">
        <w:rPr>
          <w:rFonts w:ascii="Calibri" w:eastAsia="Times New Roman" w:hAnsi="Calibri" w:cs="Calibri"/>
          <w:color w:val="000000"/>
          <w:lang w:eastAsia="en-GB"/>
        </w:rPr>
        <w:t>Arokianathan,</w:t>
      </w:r>
      <w:r w:rsidR="007F319C">
        <w:t xml:space="preserve"> Preethy Balaji,</w:t>
      </w:r>
      <w:r w:rsidR="007E6673">
        <w:t xml:space="preserve"> </w:t>
      </w:r>
      <w:r w:rsidR="00512D08">
        <w:t>Gouri Bhat,</w:t>
      </w:r>
      <w:r w:rsidR="00A63759" w:rsidRPr="00A63759">
        <w:t xml:space="preserve"> </w:t>
      </w:r>
      <w:r w:rsidR="00363BF9">
        <w:t>Ronnie Burns,</w:t>
      </w:r>
      <w:r w:rsidR="003D190B">
        <w:t xml:space="preserve"> </w:t>
      </w:r>
      <w:r w:rsidR="00814EDF">
        <w:t>Maureen Byrne,</w:t>
      </w:r>
      <w:r w:rsidR="00286F6B">
        <w:t xml:space="preserve"> </w:t>
      </w:r>
      <w:r w:rsidR="007F319C">
        <w:t xml:space="preserve">Elaine Campbell, </w:t>
      </w:r>
      <w:r w:rsidR="00B75E62">
        <w:t>Pearce Cusack,</w:t>
      </w:r>
      <w:r w:rsidR="00512D08">
        <w:t xml:space="preserve"> Gayle Dunnet,</w:t>
      </w:r>
      <w:r w:rsidR="00B75E62">
        <w:t xml:space="preserve"> </w:t>
      </w:r>
      <w:r w:rsidR="007F319C">
        <w:t xml:space="preserve">Richard Earl, </w:t>
      </w:r>
      <w:r w:rsidR="002F12FD">
        <w:t>Mark Fawcett,</w:t>
      </w:r>
      <w:r w:rsidR="00E1379D">
        <w:t xml:space="preserve"> Helen Fox,</w:t>
      </w:r>
      <w:r w:rsidR="00006239">
        <w:t xml:space="preserve"> </w:t>
      </w:r>
      <w:r w:rsidR="007914AB">
        <w:t>Sheena Fraser,</w:t>
      </w:r>
      <w:r w:rsidR="0074524C">
        <w:t xml:space="preserve"> </w:t>
      </w:r>
      <w:r w:rsidR="00512D08">
        <w:t xml:space="preserve"> Parisa Ghanbari, </w:t>
      </w:r>
      <w:r w:rsidR="006408E8">
        <w:t>Ewan Gray</w:t>
      </w:r>
      <w:r w:rsidR="00814EDF">
        <w:t>,</w:t>
      </w:r>
      <w:r w:rsidR="003D190B">
        <w:t xml:space="preserve"> </w:t>
      </w:r>
      <w:r w:rsidR="00E1379D">
        <w:t xml:space="preserve">Joanna Hall, </w:t>
      </w:r>
      <w:r w:rsidR="003D190B">
        <w:t>Lynn Howie,</w:t>
      </w:r>
      <w:r w:rsidR="00814EDF">
        <w:t xml:space="preserve"> </w:t>
      </w:r>
      <w:r w:rsidR="0049076F">
        <w:t>John Ip,</w:t>
      </w:r>
      <w:r w:rsidR="002905F2">
        <w:t xml:space="preserve"> </w:t>
      </w:r>
      <w:r w:rsidR="007F319C">
        <w:t xml:space="preserve">Waseem Khan, </w:t>
      </w:r>
      <w:r w:rsidR="00E1379D">
        <w:t xml:space="preserve">John Kyle, </w:t>
      </w:r>
      <w:r w:rsidR="00363BF9">
        <w:t>Susan Langridge,</w:t>
      </w:r>
      <w:r w:rsidR="00512D08">
        <w:t xml:space="preserve"> Gillian Leslie,</w:t>
      </w:r>
      <w:r w:rsidR="007E6673">
        <w:t xml:space="preserve"> Crystalline Lim, Olivia Loy,</w:t>
      </w:r>
      <w:r w:rsidR="00363BF9">
        <w:t xml:space="preserve"> </w:t>
      </w:r>
      <w:r w:rsidR="003D190B">
        <w:t xml:space="preserve">Alanna Macrae, </w:t>
      </w:r>
      <w:r w:rsidR="005E563A">
        <w:t>Christopher Mansbridge</w:t>
      </w:r>
      <w:r w:rsidR="00AC38BB">
        <w:t>,</w:t>
      </w:r>
      <w:r w:rsidR="005B4212">
        <w:t xml:space="preserve"> </w:t>
      </w:r>
      <w:r w:rsidR="007F319C">
        <w:t xml:space="preserve">Elizabeth Marshallsay, </w:t>
      </w:r>
      <w:r w:rsidR="006454BF">
        <w:t>Chris McHugh,</w:t>
      </w:r>
      <w:r w:rsidR="00005402">
        <w:t xml:space="preserve"> </w:t>
      </w:r>
      <w:r w:rsidR="007F319C">
        <w:t xml:space="preserve">Barry McLachlan, </w:t>
      </w:r>
      <w:r w:rsidR="00005402">
        <w:t>Hilary McNaughtan,</w:t>
      </w:r>
      <w:r w:rsidR="00B75E62">
        <w:t xml:space="preserve"> </w:t>
      </w:r>
      <w:r w:rsidR="007E3219">
        <w:t>Brian Milmore,</w:t>
      </w:r>
      <w:r w:rsidR="00E1379D">
        <w:t xml:space="preserve"> Austin Nichol,</w:t>
      </w:r>
      <w:r w:rsidR="007E3219">
        <w:t xml:space="preserve"> </w:t>
      </w:r>
      <w:r w:rsidR="00274CDD">
        <w:t>Scott Queen,</w:t>
      </w:r>
      <w:r w:rsidR="003D190B">
        <w:t xml:space="preserve"> </w:t>
      </w:r>
      <w:r w:rsidR="00512D08">
        <w:t xml:space="preserve">Michael Rennick, </w:t>
      </w:r>
      <w:r w:rsidR="00E1379D">
        <w:t xml:space="preserve">Stacy Russell, </w:t>
      </w:r>
      <w:r w:rsidR="00512D08">
        <w:t>Victoria Shotton,</w:t>
      </w:r>
      <w:r w:rsidR="003D190B">
        <w:t xml:space="preserve"> </w:t>
      </w:r>
      <w:r w:rsidR="00005402">
        <w:t>Jasmeet Singh,</w:t>
      </w:r>
      <w:r w:rsidR="003D190B">
        <w:t xml:space="preserve"> </w:t>
      </w:r>
      <w:r w:rsidR="00286F6B">
        <w:t>David Taylor</w:t>
      </w:r>
      <w:r w:rsidR="00A96E3F">
        <w:t xml:space="preserve">, Karen Taylor and Graham Thompson </w:t>
      </w:r>
    </w:p>
    <w:bookmarkEnd w:id="1"/>
    <w:p w14:paraId="6FAEBFB5" w14:textId="77777777" w:rsidR="00A82EC6" w:rsidRDefault="00A82EC6" w:rsidP="00A82EC6">
      <w:pPr>
        <w:pStyle w:val="NoSpacing"/>
        <w:jc w:val="both"/>
      </w:pPr>
    </w:p>
    <w:p w14:paraId="7FBF5F21" w14:textId="210DB497" w:rsidR="00FD0D9F" w:rsidRDefault="00FD0D9F" w:rsidP="00790554">
      <w:pPr>
        <w:pStyle w:val="NoSpacing"/>
        <w:jc w:val="both"/>
        <w:rPr>
          <w:b/>
          <w:bCs/>
        </w:rPr>
      </w:pPr>
      <w:r>
        <w:rPr>
          <w:b/>
          <w:bCs/>
        </w:rPr>
        <w:t>Chair</w:t>
      </w:r>
    </w:p>
    <w:p w14:paraId="25D5C3DF" w14:textId="47CE05FD" w:rsidR="00FD0D9F" w:rsidRDefault="00FD0D9F" w:rsidP="00FC3D27">
      <w:pPr>
        <w:pStyle w:val="NoSpacing"/>
        <w:numPr>
          <w:ilvl w:val="0"/>
          <w:numId w:val="3"/>
        </w:numPr>
        <w:ind w:left="360"/>
        <w:jc w:val="both"/>
      </w:pPr>
      <w:bookmarkStart w:id="3" w:name="_Hlk75257035"/>
      <w:r>
        <w:t xml:space="preserve">Dr </w:t>
      </w:r>
      <w:r w:rsidR="00006239">
        <w:t>Mark Fawcett</w:t>
      </w:r>
      <w:r w:rsidR="00103BAE">
        <w:t xml:space="preserve">, Chair </w:t>
      </w:r>
      <w:r>
        <w:t>of the Committee</w:t>
      </w:r>
      <w:bookmarkEnd w:id="3"/>
    </w:p>
    <w:p w14:paraId="237D3768" w14:textId="15C35A37" w:rsidR="00FD0D9F" w:rsidRDefault="00FD0D9F" w:rsidP="00790554">
      <w:pPr>
        <w:pStyle w:val="NoSpacing"/>
        <w:jc w:val="both"/>
      </w:pPr>
    </w:p>
    <w:p w14:paraId="0268A3C3" w14:textId="1E94D977" w:rsidR="00FD0D9F" w:rsidRDefault="00FD0D9F" w:rsidP="00790554">
      <w:pPr>
        <w:pStyle w:val="NoSpacing"/>
        <w:jc w:val="both"/>
        <w:rPr>
          <w:b/>
          <w:bCs/>
        </w:rPr>
      </w:pPr>
      <w:r>
        <w:rPr>
          <w:b/>
          <w:bCs/>
        </w:rPr>
        <w:t>Attending</w:t>
      </w:r>
    </w:p>
    <w:p w14:paraId="7F798BED" w14:textId="6EEC47FE" w:rsidR="00E1379D" w:rsidRDefault="00E1379D" w:rsidP="00363BF9">
      <w:pPr>
        <w:pStyle w:val="NoSpacing"/>
        <w:numPr>
          <w:ilvl w:val="1"/>
          <w:numId w:val="3"/>
        </w:numPr>
        <w:ind w:left="360"/>
        <w:jc w:val="both"/>
      </w:pPr>
      <w:bookmarkStart w:id="4" w:name="_Hlk224644990"/>
      <w:r>
        <w:t>Dr Kay Fasasi, GPST3</w:t>
      </w:r>
    </w:p>
    <w:p w14:paraId="57363689" w14:textId="0EE19764" w:rsidR="003D190B" w:rsidRDefault="00F22A8D" w:rsidP="00363BF9">
      <w:pPr>
        <w:pStyle w:val="NoSpacing"/>
        <w:numPr>
          <w:ilvl w:val="1"/>
          <w:numId w:val="3"/>
        </w:numPr>
        <w:ind w:left="360"/>
        <w:jc w:val="both"/>
      </w:pPr>
      <w:r w:rsidRPr="00FD0D9F">
        <w:t>Marco Florence, Secretary to the Committee</w:t>
      </w:r>
    </w:p>
    <w:p w14:paraId="74067177" w14:textId="5950D6E4" w:rsidR="00005402" w:rsidRDefault="00005402" w:rsidP="00363BF9">
      <w:pPr>
        <w:pStyle w:val="NoSpacing"/>
        <w:numPr>
          <w:ilvl w:val="1"/>
          <w:numId w:val="3"/>
        </w:numPr>
        <w:ind w:left="360"/>
        <w:jc w:val="both"/>
      </w:pPr>
      <w:r>
        <w:t>Dr Jude Marshall, Deputy Medical Director for Primary Care, NHS GGC</w:t>
      </w:r>
    </w:p>
    <w:p w14:paraId="3A87A5A5" w14:textId="41B325E6" w:rsidR="00005402" w:rsidRDefault="00005402" w:rsidP="00005402">
      <w:pPr>
        <w:pStyle w:val="NoSpacing"/>
        <w:numPr>
          <w:ilvl w:val="1"/>
          <w:numId w:val="3"/>
        </w:numPr>
        <w:ind w:left="360"/>
        <w:jc w:val="both"/>
      </w:pPr>
      <w:r>
        <w:t>Fraser McJannett, Director of Primary Care, NHS GGC</w:t>
      </w:r>
    </w:p>
    <w:p w14:paraId="3F21EC93" w14:textId="5DF4C4F0" w:rsidR="00356386" w:rsidRDefault="00356386" w:rsidP="00FC3D27">
      <w:pPr>
        <w:pStyle w:val="NoSpacing"/>
        <w:numPr>
          <w:ilvl w:val="1"/>
          <w:numId w:val="3"/>
        </w:numPr>
        <w:ind w:left="360"/>
        <w:jc w:val="both"/>
      </w:pPr>
      <w:r>
        <w:t>Elaine McLaren, Administration Officer for the Committee</w:t>
      </w:r>
    </w:p>
    <w:p w14:paraId="178B1442" w14:textId="46D54A5A" w:rsidR="00F521B6" w:rsidRDefault="00512D08" w:rsidP="007B7C25">
      <w:pPr>
        <w:pStyle w:val="NoSpacing"/>
        <w:numPr>
          <w:ilvl w:val="1"/>
          <w:numId w:val="3"/>
        </w:numPr>
        <w:ind w:left="360"/>
        <w:jc w:val="both"/>
      </w:pPr>
      <w:r>
        <w:t>Charlene Sweeney, Operations Manager, GP Walk In Centre, NHS GGC</w:t>
      </w:r>
    </w:p>
    <w:bookmarkEnd w:id="4"/>
    <w:p w14:paraId="255949AB" w14:textId="77777777" w:rsidR="005A1259" w:rsidRDefault="005A1259" w:rsidP="00790554">
      <w:pPr>
        <w:pStyle w:val="NoSpacing"/>
        <w:jc w:val="both"/>
      </w:pPr>
    </w:p>
    <w:p w14:paraId="64045C57" w14:textId="12957576" w:rsidR="005B4212" w:rsidRPr="00A75CB6" w:rsidRDefault="00C0549F" w:rsidP="00A75CB6">
      <w:pPr>
        <w:pStyle w:val="NoSpacing"/>
        <w:jc w:val="both"/>
        <w:rPr>
          <w:b/>
          <w:bCs/>
        </w:rPr>
      </w:pPr>
      <w:r w:rsidRPr="00FD0D9F">
        <w:rPr>
          <w:b/>
          <w:bCs/>
        </w:rPr>
        <w:t>Apologies</w:t>
      </w:r>
      <w:bookmarkStart w:id="5" w:name="_Hlk151542458"/>
      <w:bookmarkEnd w:id="2"/>
    </w:p>
    <w:p w14:paraId="3A212E7C" w14:textId="3246276D" w:rsidR="003D74FD" w:rsidRDefault="003D190B" w:rsidP="003D74FD">
      <w:pPr>
        <w:pStyle w:val="NoSpacing"/>
        <w:numPr>
          <w:ilvl w:val="0"/>
          <w:numId w:val="1"/>
        </w:numPr>
        <w:ind w:left="360"/>
        <w:jc w:val="both"/>
      </w:pPr>
      <w:bookmarkStart w:id="6" w:name="_Hlk198717631"/>
      <w:bookmarkEnd w:id="0"/>
      <w:bookmarkEnd w:id="5"/>
      <w:r>
        <w:t>Drs</w:t>
      </w:r>
      <w:r w:rsidR="00E1379D">
        <w:t xml:space="preserve"> Michael Anderson, Harminder Baryah, Georgi Georgiev,</w:t>
      </w:r>
      <w:r w:rsidR="00005402" w:rsidRPr="00005402">
        <w:t xml:space="preserve"> </w:t>
      </w:r>
      <w:r w:rsidR="00512D08">
        <w:t>Veronica Mallon</w:t>
      </w:r>
      <w:r w:rsidR="00E1379D">
        <w:t>, Harriet Rushworth and Alastair Taylor</w:t>
      </w:r>
      <w:r w:rsidR="00286F6B">
        <w:t>;</w:t>
      </w:r>
      <w:r w:rsidR="004B3C04">
        <w:t xml:space="preserve"> </w:t>
      </w:r>
      <w:bookmarkEnd w:id="6"/>
      <w:r w:rsidR="004B3C04">
        <w:t>Dr Ron Alexander</w:t>
      </w:r>
      <w:r w:rsidR="007F319C">
        <w:t xml:space="preserve"> </w:t>
      </w:r>
    </w:p>
    <w:p w14:paraId="5CF988BA" w14:textId="260E366D" w:rsidR="001737F9" w:rsidRPr="003D74FD" w:rsidRDefault="0049076F" w:rsidP="003D74FD">
      <w:pPr>
        <w:pStyle w:val="NoSpacing"/>
        <w:numPr>
          <w:ilvl w:val="0"/>
          <w:numId w:val="1"/>
        </w:numPr>
        <w:ind w:left="360"/>
        <w:jc w:val="both"/>
      </w:pPr>
      <w:r w:rsidRPr="00043E72">
        <w:rPr>
          <w:noProof/>
        </w:rPr>
        <mc:AlternateContent>
          <mc:Choice Requires="wps">
            <w:drawing>
              <wp:anchor distT="0" distB="0" distL="114300" distR="114300" simplePos="0" relativeHeight="251661312" behindDoc="0" locked="0" layoutInCell="1" allowOverlap="1" wp14:anchorId="03232E07" wp14:editId="1B48D890">
                <wp:simplePos x="0" y="0"/>
                <wp:positionH relativeFrom="margin">
                  <wp:posOffset>-953770</wp:posOffset>
                </wp:positionH>
                <wp:positionV relativeFrom="paragraph">
                  <wp:posOffset>158750</wp:posOffset>
                </wp:positionV>
                <wp:extent cx="7613015" cy="3810"/>
                <wp:effectExtent l="0" t="0" r="26035" b="34290"/>
                <wp:wrapNone/>
                <wp:docPr id="1002104180" name="Straight Connector 1002104180"/>
                <wp:cNvGraphicFramePr/>
                <a:graphic xmlns:a="http://schemas.openxmlformats.org/drawingml/2006/main">
                  <a:graphicData uri="http://schemas.microsoft.com/office/word/2010/wordprocessingShape">
                    <wps:wsp>
                      <wps:cNvCnPr/>
                      <wps:spPr>
                        <a:xfrm flipV="1">
                          <a:off x="0" y="0"/>
                          <a:ext cx="7613015" cy="3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6B291843" id="Straight Connector 1002104180" o:spid="_x0000_s1026" style="position:absolute;flip:y;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75.1pt,12.5pt" to="524.3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" strokecolor="black [3213]" strokeweight=".5pt">
                <v:stroke joinstyle="miter"/>
                <w10:wrap anchorx="margin"/>
              </v:line>
            </w:pict>
          </mc:Fallback>
        </mc:AlternateContent>
      </w:r>
      <w:r w:rsidR="00EE426E" w:rsidRPr="003D74FD">
        <w:rPr>
          <w:rFonts w:cstheme="minorHAnsi"/>
          <w:b/>
          <w:bCs/>
        </w:rPr>
        <w:t>Members were reminded to declare any relevant conflicts of interest.</w:t>
      </w:r>
    </w:p>
    <w:p w14:paraId="23F30C5B" w14:textId="77777777" w:rsidR="00FF48AE" w:rsidRPr="00FF48AE" w:rsidRDefault="00FF48AE" w:rsidP="00FF48AE">
      <w:pPr>
        <w:spacing w:line="259" w:lineRule="auto"/>
        <w:rPr>
          <w:rFonts w:cstheme="minorHAnsi"/>
          <w:b/>
          <w:bCs/>
        </w:rPr>
      </w:pPr>
      <w:bookmarkStart w:id="7" w:name="_Hlk198717705"/>
      <w:r w:rsidRPr="00FF48AE">
        <w:rPr>
          <w:rFonts w:cstheme="minorHAnsi"/>
          <w:b/>
          <w:bCs/>
        </w:rPr>
        <w:t xml:space="preserve">Observer </w:t>
      </w:r>
    </w:p>
    <w:p w14:paraId="3E2DCFAF" w14:textId="101B2BBF" w:rsidR="00FF48AE" w:rsidRDefault="00FF48AE" w:rsidP="00FF48AE">
      <w:pPr>
        <w:spacing w:line="259" w:lineRule="auto"/>
        <w:rPr>
          <w:rFonts w:cstheme="minorHAnsi"/>
          <w:b/>
          <w:bCs/>
        </w:rPr>
      </w:pPr>
      <w:r>
        <w:rPr>
          <w:rFonts w:cstheme="minorHAnsi"/>
          <w:b/>
          <w:bCs/>
        </w:rPr>
        <w:t>26/29</w:t>
      </w:r>
    </w:p>
    <w:p w14:paraId="63BE44F9" w14:textId="18499E06" w:rsidR="00FF48AE" w:rsidRPr="00FF48AE" w:rsidRDefault="00FF48AE" w:rsidP="00FF48AE">
      <w:pPr>
        <w:pStyle w:val="ListParagraph"/>
        <w:numPr>
          <w:ilvl w:val="0"/>
          <w:numId w:val="25"/>
        </w:numPr>
        <w:spacing w:line="259" w:lineRule="auto"/>
        <w:ind w:left="360"/>
        <w:rPr>
          <w:rFonts w:cstheme="minorHAnsi"/>
          <w:b/>
          <w:bCs/>
        </w:rPr>
      </w:pPr>
      <w:r>
        <w:rPr>
          <w:rFonts w:cstheme="minorHAnsi"/>
        </w:rPr>
        <w:t>Dr Kay Fasasi was welcomed to the meeting as an observer.</w:t>
      </w:r>
    </w:p>
    <w:p w14:paraId="423F7631" w14:textId="5B285BED" w:rsidR="00FF48AE" w:rsidRPr="00FF48AE" w:rsidRDefault="00FF48AE" w:rsidP="00FF48AE">
      <w:pPr>
        <w:pStyle w:val="ListParagraph"/>
        <w:spacing w:line="259" w:lineRule="auto"/>
        <w:rPr>
          <w:rFonts w:cstheme="minorHAnsi"/>
          <w:b/>
          <w:bCs/>
        </w:rPr>
      </w:pPr>
    </w:p>
    <w:p w14:paraId="7E853121" w14:textId="77777777" w:rsidR="00FF48AE" w:rsidRDefault="00FF48AE" w:rsidP="00FF48AE">
      <w:pPr>
        <w:spacing w:line="259" w:lineRule="auto"/>
        <w:rPr>
          <w:rFonts w:cstheme="minorHAnsi"/>
          <w:b/>
          <w:bCs/>
        </w:rPr>
      </w:pPr>
      <w:r w:rsidRPr="00FF48AE">
        <w:rPr>
          <w:rFonts w:cstheme="minorHAnsi"/>
          <w:b/>
          <w:bCs/>
        </w:rPr>
        <w:t>Minutes GP Subcommittee</w:t>
      </w:r>
    </w:p>
    <w:p w14:paraId="05ECEDD6" w14:textId="182798D0" w:rsidR="00FF48AE" w:rsidRPr="00FF48AE" w:rsidRDefault="00FF48AE" w:rsidP="00FF48AE">
      <w:pPr>
        <w:spacing w:line="259" w:lineRule="auto"/>
        <w:rPr>
          <w:rFonts w:cstheme="minorHAnsi"/>
        </w:rPr>
      </w:pPr>
      <w:r>
        <w:rPr>
          <w:rFonts w:cstheme="minorHAnsi"/>
          <w:b/>
          <w:bCs/>
        </w:rPr>
        <w:t>26/30</w:t>
      </w:r>
    </w:p>
    <w:p w14:paraId="56BAC6E8" w14:textId="048FE6CF" w:rsidR="00FF48AE" w:rsidRDefault="00FF48AE" w:rsidP="00FF48AE">
      <w:pPr>
        <w:pStyle w:val="ListParagraph"/>
        <w:numPr>
          <w:ilvl w:val="0"/>
          <w:numId w:val="26"/>
        </w:numPr>
        <w:spacing w:line="259" w:lineRule="auto"/>
        <w:ind w:left="360"/>
        <w:rPr>
          <w:rFonts w:cstheme="minorHAnsi"/>
          <w:u w:val="single"/>
        </w:rPr>
      </w:pPr>
      <w:bookmarkStart w:id="8" w:name="_Hlk82600520"/>
      <w:r w:rsidRPr="00FF48AE">
        <w:rPr>
          <w:rFonts w:cstheme="minorHAnsi"/>
          <w:u w:val="single"/>
        </w:rPr>
        <w:t>Draft Minutes of the GP Subcommittee</w:t>
      </w:r>
      <w:bookmarkEnd w:id="8"/>
      <w:r w:rsidRPr="00FF48AE">
        <w:rPr>
          <w:rFonts w:cstheme="minorHAnsi"/>
          <w:u w:val="single"/>
        </w:rPr>
        <w:t>, 18</w:t>
      </w:r>
      <w:r w:rsidRPr="00FF48AE">
        <w:rPr>
          <w:rFonts w:cstheme="minorHAnsi"/>
          <w:u w:val="single"/>
          <w:vertAlign w:val="superscript"/>
        </w:rPr>
        <w:t>th</w:t>
      </w:r>
      <w:r w:rsidRPr="00FF48AE">
        <w:rPr>
          <w:rFonts w:cstheme="minorHAnsi"/>
          <w:u w:val="single"/>
        </w:rPr>
        <w:t xml:space="preserve"> May 2026, Paper GPSub_18</w:t>
      </w:r>
    </w:p>
    <w:p w14:paraId="604DCD1C" w14:textId="41BF16AB" w:rsidR="00FF48AE" w:rsidRPr="00FF48AE" w:rsidRDefault="00FF48AE" w:rsidP="00FF48AE">
      <w:pPr>
        <w:pStyle w:val="ListParagraph"/>
        <w:numPr>
          <w:ilvl w:val="3"/>
          <w:numId w:val="26"/>
        </w:numPr>
        <w:spacing w:line="259" w:lineRule="auto"/>
        <w:ind w:left="360"/>
        <w:rPr>
          <w:rFonts w:cstheme="minorHAnsi"/>
          <w:u w:val="single"/>
        </w:rPr>
      </w:pPr>
      <w:r>
        <w:rPr>
          <w:rFonts w:cstheme="minorHAnsi"/>
        </w:rPr>
        <w:t>The draft minutes were approved by the GP Subcommittee.</w:t>
      </w:r>
    </w:p>
    <w:p w14:paraId="490EF98F" w14:textId="77777777" w:rsidR="00FF48AE" w:rsidRPr="00FF48AE" w:rsidRDefault="00FF48AE" w:rsidP="00FF48AE">
      <w:pPr>
        <w:pStyle w:val="ListParagraph"/>
        <w:spacing w:line="259" w:lineRule="auto"/>
        <w:ind w:left="360"/>
        <w:rPr>
          <w:rFonts w:cstheme="minorHAnsi"/>
          <w:u w:val="single"/>
        </w:rPr>
      </w:pPr>
    </w:p>
    <w:p w14:paraId="566D9F4D" w14:textId="5CC2B00A" w:rsidR="00FF48AE" w:rsidRPr="00FF48AE" w:rsidRDefault="00FF48AE" w:rsidP="00FF48AE">
      <w:pPr>
        <w:pStyle w:val="ListParagraph"/>
        <w:numPr>
          <w:ilvl w:val="0"/>
          <w:numId w:val="26"/>
        </w:numPr>
        <w:spacing w:line="259" w:lineRule="auto"/>
        <w:ind w:left="360"/>
        <w:rPr>
          <w:rFonts w:cstheme="minorHAnsi"/>
          <w:u w:val="single"/>
        </w:rPr>
      </w:pPr>
      <w:r w:rsidRPr="00FF48AE">
        <w:rPr>
          <w:rFonts w:cstheme="minorHAnsi"/>
          <w:u w:val="single"/>
        </w:rPr>
        <w:t>Draft Minutes of the GP Subcommittee’s Executive, 1</w:t>
      </w:r>
      <w:r w:rsidRPr="00FF48AE">
        <w:rPr>
          <w:rFonts w:cstheme="minorHAnsi"/>
          <w:u w:val="single"/>
          <w:vertAlign w:val="superscript"/>
        </w:rPr>
        <w:t>st</w:t>
      </w:r>
      <w:r w:rsidRPr="00FF48AE">
        <w:rPr>
          <w:rFonts w:cstheme="minorHAnsi"/>
          <w:u w:val="single"/>
        </w:rPr>
        <w:t xml:space="preserve"> June 2026, Paper GPSub_</w:t>
      </w:r>
      <w:bookmarkStart w:id="9" w:name="_Hlk219276754"/>
      <w:r w:rsidRPr="00FF48AE">
        <w:rPr>
          <w:rFonts w:cstheme="minorHAnsi"/>
          <w:u w:val="single"/>
        </w:rPr>
        <w:t>19</w:t>
      </w:r>
    </w:p>
    <w:bookmarkEnd w:id="9"/>
    <w:p w14:paraId="79B07B75" w14:textId="123B3A8E" w:rsidR="004D5036" w:rsidRDefault="00FF48AE" w:rsidP="00FF48AE">
      <w:pPr>
        <w:pStyle w:val="ListParagraph"/>
        <w:numPr>
          <w:ilvl w:val="0"/>
          <w:numId w:val="27"/>
        </w:numPr>
        <w:spacing w:line="259" w:lineRule="auto"/>
        <w:ind w:left="360"/>
        <w:rPr>
          <w:rFonts w:cstheme="minorHAnsi"/>
        </w:rPr>
      </w:pPr>
      <w:r w:rsidRPr="00FF48AE">
        <w:rPr>
          <w:rFonts w:cstheme="minorHAnsi"/>
        </w:rPr>
        <w:t>There was a discussion regarding item EC26/18.1</w:t>
      </w:r>
      <w:r w:rsidR="008D747C">
        <w:rPr>
          <w:rFonts w:cstheme="minorHAnsi"/>
        </w:rPr>
        <w:t xml:space="preserve"> concerning abnormal</w:t>
      </w:r>
      <w:r w:rsidR="004D5036">
        <w:rPr>
          <w:rFonts w:cstheme="minorHAnsi"/>
        </w:rPr>
        <w:t xml:space="preserve"> </w:t>
      </w:r>
      <w:r w:rsidRPr="00FF48AE">
        <w:rPr>
          <w:rFonts w:cstheme="minorHAnsi"/>
        </w:rPr>
        <w:t>LFTs</w:t>
      </w:r>
      <w:r w:rsidR="004D5036">
        <w:rPr>
          <w:rFonts w:cstheme="minorHAnsi"/>
        </w:rPr>
        <w:t xml:space="preserve">. </w:t>
      </w:r>
    </w:p>
    <w:p w14:paraId="51975503" w14:textId="77777777" w:rsidR="004D5036" w:rsidRDefault="00FF48AE" w:rsidP="00FF48AE">
      <w:pPr>
        <w:pStyle w:val="ListParagraph"/>
        <w:numPr>
          <w:ilvl w:val="0"/>
          <w:numId w:val="27"/>
        </w:numPr>
        <w:spacing w:line="259" w:lineRule="auto"/>
        <w:ind w:left="360"/>
        <w:rPr>
          <w:rFonts w:cstheme="minorHAnsi"/>
        </w:rPr>
      </w:pPr>
      <w:r w:rsidRPr="004D5036">
        <w:rPr>
          <w:rFonts w:cstheme="minorHAnsi"/>
        </w:rPr>
        <w:t xml:space="preserve">It was </w:t>
      </w:r>
      <w:r w:rsidR="008D747C" w:rsidRPr="004D5036">
        <w:rPr>
          <w:rFonts w:cstheme="minorHAnsi"/>
        </w:rPr>
        <w:t xml:space="preserve">noted </w:t>
      </w:r>
      <w:r w:rsidRPr="004D5036">
        <w:rPr>
          <w:rFonts w:cstheme="minorHAnsi"/>
        </w:rPr>
        <w:t xml:space="preserve">that the </w:t>
      </w:r>
      <w:r w:rsidR="00594B0A" w:rsidRPr="004D5036">
        <w:rPr>
          <w:rFonts w:cstheme="minorHAnsi"/>
        </w:rPr>
        <w:t>secretariat</w:t>
      </w:r>
      <w:r w:rsidRPr="004D5036">
        <w:rPr>
          <w:rFonts w:cstheme="minorHAnsi"/>
        </w:rPr>
        <w:t xml:space="preserve"> had </w:t>
      </w:r>
      <w:r w:rsidR="00237847" w:rsidRPr="004D5036">
        <w:rPr>
          <w:rFonts w:cstheme="minorHAnsi"/>
        </w:rPr>
        <w:t xml:space="preserve">agreed </w:t>
      </w:r>
      <w:r w:rsidR="008D747C" w:rsidRPr="004D5036">
        <w:rPr>
          <w:rFonts w:cstheme="minorHAnsi"/>
        </w:rPr>
        <w:t>that the guidance should include reference to considering hepatitis testing when abnormal LFT results are identified.</w:t>
      </w:r>
    </w:p>
    <w:p w14:paraId="1B6D05D2" w14:textId="77777777" w:rsidR="004D5036" w:rsidRDefault="008D747C" w:rsidP="00FF48AE">
      <w:pPr>
        <w:pStyle w:val="ListParagraph"/>
        <w:numPr>
          <w:ilvl w:val="0"/>
          <w:numId w:val="27"/>
        </w:numPr>
        <w:spacing w:line="259" w:lineRule="auto"/>
        <w:ind w:left="360"/>
        <w:rPr>
          <w:rFonts w:cstheme="minorHAnsi"/>
        </w:rPr>
      </w:pPr>
      <w:r w:rsidRPr="004D5036">
        <w:rPr>
          <w:rFonts w:cstheme="minorHAnsi"/>
        </w:rPr>
        <w:t>Discussions remain ongoing between the Secretariat, the Deputy Medical Director for Primary Care and the relevant service regarding concerns that the current guidance and supporting information are insufficient.</w:t>
      </w:r>
    </w:p>
    <w:p w14:paraId="33C52056" w14:textId="35A52444" w:rsidR="00FF48AE" w:rsidRPr="004D5036" w:rsidRDefault="008D747C" w:rsidP="00FF48AE">
      <w:pPr>
        <w:pStyle w:val="ListParagraph"/>
        <w:numPr>
          <w:ilvl w:val="0"/>
          <w:numId w:val="27"/>
        </w:numPr>
        <w:spacing w:line="259" w:lineRule="auto"/>
        <w:ind w:left="360"/>
        <w:rPr>
          <w:rFonts w:cstheme="minorHAnsi"/>
        </w:rPr>
      </w:pPr>
      <w:r w:rsidRPr="004D5036">
        <w:rPr>
          <w:rFonts w:cstheme="minorHAnsi"/>
        </w:rPr>
        <w:t>Separate work is also being undertaken within Emergency Department services.</w:t>
      </w:r>
    </w:p>
    <w:p w14:paraId="0FFFC140" w14:textId="77777777" w:rsidR="004D5036" w:rsidRPr="00FF48AE" w:rsidRDefault="004D5036" w:rsidP="00FF48AE">
      <w:pPr>
        <w:spacing w:line="259" w:lineRule="auto"/>
        <w:rPr>
          <w:rFonts w:cstheme="minorHAnsi"/>
        </w:rPr>
      </w:pPr>
    </w:p>
    <w:p w14:paraId="7ED55838" w14:textId="77777777" w:rsidR="00FF48AE" w:rsidRDefault="00FF48AE" w:rsidP="00FF48AE">
      <w:pPr>
        <w:spacing w:line="259" w:lineRule="auto"/>
        <w:rPr>
          <w:rFonts w:cstheme="minorHAnsi"/>
          <w:b/>
          <w:bCs/>
        </w:rPr>
      </w:pPr>
      <w:r w:rsidRPr="00FF48AE">
        <w:rPr>
          <w:rFonts w:cstheme="minorHAnsi"/>
          <w:b/>
          <w:bCs/>
        </w:rPr>
        <w:t>Matters Arising</w:t>
      </w:r>
    </w:p>
    <w:p w14:paraId="50FBF258" w14:textId="62539D6D" w:rsidR="00FF48AE" w:rsidRPr="00FF48AE" w:rsidRDefault="00FF48AE" w:rsidP="00FF48AE">
      <w:pPr>
        <w:spacing w:line="259" w:lineRule="auto"/>
        <w:rPr>
          <w:rFonts w:cstheme="minorHAnsi"/>
        </w:rPr>
      </w:pPr>
      <w:r>
        <w:rPr>
          <w:rFonts w:cstheme="minorHAnsi"/>
          <w:b/>
          <w:bCs/>
        </w:rPr>
        <w:t>26/31</w:t>
      </w:r>
    </w:p>
    <w:p w14:paraId="59A6641D" w14:textId="77777777" w:rsidR="00FF48AE" w:rsidRDefault="00FF48AE" w:rsidP="00FF48AE">
      <w:pPr>
        <w:pStyle w:val="ListParagraph"/>
        <w:numPr>
          <w:ilvl w:val="0"/>
          <w:numId w:val="28"/>
        </w:numPr>
        <w:spacing w:line="259" w:lineRule="auto"/>
        <w:ind w:left="360"/>
        <w:rPr>
          <w:rFonts w:cstheme="minorHAnsi"/>
          <w:u w:val="single"/>
        </w:rPr>
      </w:pPr>
      <w:r w:rsidRPr="00FF48AE">
        <w:rPr>
          <w:rFonts w:cstheme="minorHAnsi"/>
          <w:u w:val="single"/>
        </w:rPr>
        <w:t xml:space="preserve">GP Walk in Centres </w:t>
      </w:r>
    </w:p>
    <w:p w14:paraId="454C4E80" w14:textId="24898B90" w:rsidR="003F534A" w:rsidRPr="004A2A83" w:rsidRDefault="00064D00" w:rsidP="00064D00">
      <w:pPr>
        <w:pStyle w:val="ListParagraph"/>
        <w:numPr>
          <w:ilvl w:val="3"/>
          <w:numId w:val="28"/>
        </w:numPr>
        <w:spacing w:line="259" w:lineRule="auto"/>
        <w:ind w:left="360"/>
        <w:rPr>
          <w:rFonts w:cstheme="minorHAnsi"/>
          <w:u w:val="single"/>
        </w:rPr>
      </w:pPr>
      <w:r>
        <w:rPr>
          <w:rFonts w:cstheme="minorHAnsi"/>
        </w:rPr>
        <w:t xml:space="preserve">The GGC GP Walk in Centre </w:t>
      </w:r>
      <w:r w:rsidR="008D747C">
        <w:rPr>
          <w:rFonts w:cstheme="minorHAnsi"/>
        </w:rPr>
        <w:t xml:space="preserve">is scheduled to </w:t>
      </w:r>
      <w:r>
        <w:rPr>
          <w:rFonts w:cstheme="minorHAnsi"/>
        </w:rPr>
        <w:t>open on 29</w:t>
      </w:r>
      <w:r w:rsidRPr="00064D00">
        <w:rPr>
          <w:rFonts w:cstheme="minorHAnsi"/>
          <w:vertAlign w:val="superscript"/>
        </w:rPr>
        <w:t>th</w:t>
      </w:r>
      <w:r>
        <w:rPr>
          <w:rFonts w:cstheme="minorHAnsi"/>
        </w:rPr>
        <w:t xml:space="preserve"> June 2026 in Cardonald. </w:t>
      </w:r>
    </w:p>
    <w:p w14:paraId="47FEA717" w14:textId="77777777" w:rsidR="004D5036" w:rsidRPr="004D5036" w:rsidRDefault="008D747C" w:rsidP="004432D4">
      <w:pPr>
        <w:pStyle w:val="ListParagraph"/>
        <w:numPr>
          <w:ilvl w:val="3"/>
          <w:numId w:val="28"/>
        </w:numPr>
        <w:spacing w:line="259" w:lineRule="auto"/>
        <w:ind w:left="360"/>
        <w:rPr>
          <w:rFonts w:cstheme="minorHAnsi"/>
          <w:u w:val="single"/>
        </w:rPr>
      </w:pPr>
      <w:r w:rsidRPr="008D747C">
        <w:rPr>
          <w:rFonts w:cstheme="minorHAnsi"/>
        </w:rPr>
        <w:t>GP Out of Hours will be responsible for managing the service.</w:t>
      </w:r>
    </w:p>
    <w:p w14:paraId="7F3E8B68" w14:textId="77777777" w:rsidR="004D5036" w:rsidRPr="004D5036" w:rsidRDefault="00064D00" w:rsidP="004432D4">
      <w:pPr>
        <w:pStyle w:val="ListParagraph"/>
        <w:numPr>
          <w:ilvl w:val="3"/>
          <w:numId w:val="28"/>
        </w:numPr>
        <w:spacing w:line="259" w:lineRule="auto"/>
        <w:ind w:left="360"/>
        <w:rPr>
          <w:rFonts w:cstheme="minorHAnsi"/>
          <w:u w:val="single"/>
        </w:rPr>
      </w:pPr>
      <w:r w:rsidRPr="008D747C">
        <w:rPr>
          <w:rFonts w:cstheme="minorHAnsi"/>
        </w:rPr>
        <w:lastRenderedPageBreak/>
        <w:t xml:space="preserve">This will be open to patients registered at practices </w:t>
      </w:r>
      <w:r w:rsidR="00594B0A" w:rsidRPr="008D747C">
        <w:rPr>
          <w:rFonts w:cstheme="minorHAnsi"/>
        </w:rPr>
        <w:t>in</w:t>
      </w:r>
      <w:r w:rsidRPr="008D747C">
        <w:rPr>
          <w:rFonts w:cstheme="minorHAnsi"/>
        </w:rPr>
        <w:t xml:space="preserve"> the local cluster 2</w:t>
      </w:r>
      <w:r w:rsidR="008D747C" w:rsidRPr="008D747C">
        <w:rPr>
          <w:rFonts w:cstheme="minorHAnsi"/>
        </w:rPr>
        <w:t xml:space="preserve"> area</w:t>
      </w:r>
      <w:r w:rsidRPr="008D747C">
        <w:rPr>
          <w:rFonts w:cstheme="minorHAnsi"/>
        </w:rPr>
        <w:t>.</w:t>
      </w:r>
    </w:p>
    <w:p w14:paraId="0C9BAB30" w14:textId="156AF05E" w:rsidR="004D5036" w:rsidRPr="004D5036" w:rsidRDefault="008D747C" w:rsidP="004432D4">
      <w:pPr>
        <w:pStyle w:val="ListParagraph"/>
        <w:numPr>
          <w:ilvl w:val="3"/>
          <w:numId w:val="28"/>
        </w:numPr>
        <w:spacing w:line="259" w:lineRule="auto"/>
        <w:ind w:left="360"/>
        <w:rPr>
          <w:rFonts w:cstheme="minorHAnsi"/>
          <w:u w:val="single"/>
        </w:rPr>
      </w:pPr>
      <w:r w:rsidRPr="008D747C">
        <w:rPr>
          <w:rFonts w:cstheme="minorHAnsi"/>
        </w:rPr>
        <w:t xml:space="preserve">The Board acknowledged the inequity created by restricting access to patients registered with Cluster </w:t>
      </w:r>
      <w:r w:rsidR="005312D9">
        <w:rPr>
          <w:rFonts w:cstheme="minorHAnsi"/>
        </w:rPr>
        <w:t>7</w:t>
      </w:r>
      <w:r w:rsidRPr="008D747C">
        <w:rPr>
          <w:rFonts w:cstheme="minorHAnsi"/>
        </w:rPr>
        <w:t xml:space="preserve"> practices only.</w:t>
      </w:r>
    </w:p>
    <w:p w14:paraId="5A8C47D5" w14:textId="458556A3" w:rsidR="00064D00" w:rsidRPr="008D747C" w:rsidRDefault="008D747C" w:rsidP="004432D4">
      <w:pPr>
        <w:pStyle w:val="ListParagraph"/>
        <w:numPr>
          <w:ilvl w:val="3"/>
          <w:numId w:val="28"/>
        </w:numPr>
        <w:spacing w:line="259" w:lineRule="auto"/>
        <w:ind w:left="360"/>
        <w:rPr>
          <w:rFonts w:cstheme="minorHAnsi"/>
          <w:u w:val="single"/>
        </w:rPr>
      </w:pPr>
      <w:r w:rsidRPr="008D747C">
        <w:rPr>
          <w:rFonts w:cstheme="minorHAnsi"/>
        </w:rPr>
        <w:t xml:space="preserve">The Committee stressed the importance of clear public and practice-facing communication on eligibility, including communication to practices outwith Cluster </w:t>
      </w:r>
      <w:r w:rsidR="005312D9">
        <w:rPr>
          <w:rFonts w:cstheme="minorHAnsi"/>
        </w:rPr>
        <w:t>7</w:t>
      </w:r>
      <w:bookmarkStart w:id="10" w:name="_GoBack"/>
      <w:bookmarkEnd w:id="10"/>
      <w:r w:rsidRPr="008D747C">
        <w:rPr>
          <w:rFonts w:cstheme="minorHAnsi"/>
        </w:rPr>
        <w:t>.</w:t>
      </w:r>
      <w:r w:rsidR="004D5036">
        <w:rPr>
          <w:rFonts w:cstheme="minorHAnsi"/>
        </w:rPr>
        <w:t xml:space="preserve"> </w:t>
      </w:r>
      <w:r w:rsidR="009C23BA" w:rsidRPr="008D747C">
        <w:rPr>
          <w:rFonts w:cstheme="minorHAnsi"/>
        </w:rPr>
        <w:t>The board confirmed that it would issue a communication to</w:t>
      </w:r>
      <w:r>
        <w:rPr>
          <w:rFonts w:cstheme="minorHAnsi"/>
        </w:rPr>
        <w:t xml:space="preserve"> all</w:t>
      </w:r>
      <w:r w:rsidR="009C23BA" w:rsidRPr="008D747C">
        <w:rPr>
          <w:rFonts w:cstheme="minorHAnsi"/>
        </w:rPr>
        <w:t xml:space="preserve"> GP practices in GGC.</w:t>
      </w:r>
    </w:p>
    <w:p w14:paraId="0288650E" w14:textId="09A7F652" w:rsidR="00064D00" w:rsidRPr="004A2A83" w:rsidRDefault="004A2A83" w:rsidP="00064D00">
      <w:pPr>
        <w:pStyle w:val="ListParagraph"/>
        <w:numPr>
          <w:ilvl w:val="3"/>
          <w:numId w:val="28"/>
        </w:numPr>
        <w:spacing w:line="259" w:lineRule="auto"/>
        <w:ind w:left="360"/>
        <w:rPr>
          <w:rFonts w:cstheme="minorHAnsi"/>
          <w:u w:val="single"/>
        </w:rPr>
      </w:pPr>
      <w:r>
        <w:rPr>
          <w:rFonts w:cstheme="minorHAnsi"/>
        </w:rPr>
        <w:t>The SNP pledged during the election campaign to put in place more GP Walk in Centres than the initial announcement last autumn. Further details are currently awaited.</w:t>
      </w:r>
    </w:p>
    <w:p w14:paraId="0446DA9B" w14:textId="77777777" w:rsidR="004D5036" w:rsidRPr="004D5036" w:rsidRDefault="00A300AD" w:rsidP="00064D00">
      <w:pPr>
        <w:pStyle w:val="ListParagraph"/>
        <w:numPr>
          <w:ilvl w:val="3"/>
          <w:numId w:val="28"/>
        </w:numPr>
        <w:spacing w:line="259" w:lineRule="auto"/>
        <w:ind w:left="360"/>
        <w:rPr>
          <w:rFonts w:cstheme="minorHAnsi"/>
          <w:u w:val="single"/>
        </w:rPr>
      </w:pPr>
      <w:r w:rsidRPr="00A300AD">
        <w:rPr>
          <w:rFonts w:cstheme="minorHAnsi"/>
        </w:rPr>
        <w:t>Local members noted that the service is intended for self-presenting patients and not as a route for GP practices to direct or refer patients into the centre.</w:t>
      </w:r>
    </w:p>
    <w:p w14:paraId="16C31E10" w14:textId="4E71F167" w:rsidR="004A2A83" w:rsidRPr="004A2A83" w:rsidRDefault="008D747C" w:rsidP="00064D00">
      <w:pPr>
        <w:pStyle w:val="ListParagraph"/>
        <w:numPr>
          <w:ilvl w:val="3"/>
          <w:numId w:val="28"/>
        </w:numPr>
        <w:spacing w:line="259" w:lineRule="auto"/>
        <w:ind w:left="360"/>
        <w:rPr>
          <w:rFonts w:cstheme="minorHAnsi"/>
          <w:u w:val="single"/>
        </w:rPr>
      </w:pPr>
      <w:r>
        <w:rPr>
          <w:rFonts w:cstheme="minorHAnsi"/>
        </w:rPr>
        <w:t>The Committee noted the importance</w:t>
      </w:r>
      <w:r w:rsidR="004A2A83">
        <w:rPr>
          <w:rFonts w:cstheme="minorHAnsi"/>
        </w:rPr>
        <w:t xml:space="preserve"> </w:t>
      </w:r>
      <w:r>
        <w:rPr>
          <w:rFonts w:cstheme="minorHAnsi"/>
        </w:rPr>
        <w:t>for formal board analysis of the</w:t>
      </w:r>
      <w:r w:rsidR="004A2A83">
        <w:rPr>
          <w:rFonts w:cstheme="minorHAnsi"/>
        </w:rPr>
        <w:t xml:space="preserve"> use of the </w:t>
      </w:r>
      <w:r>
        <w:rPr>
          <w:rFonts w:cstheme="minorHAnsi"/>
        </w:rPr>
        <w:t xml:space="preserve">GP walk in </w:t>
      </w:r>
      <w:r w:rsidR="004A2A83">
        <w:rPr>
          <w:rFonts w:cstheme="minorHAnsi"/>
        </w:rPr>
        <w:t>centre</w:t>
      </w:r>
      <w:r w:rsidR="00A300AD">
        <w:rPr>
          <w:rFonts w:cstheme="minorHAnsi"/>
        </w:rPr>
        <w:t xml:space="preserve">, including </w:t>
      </w:r>
      <w:r w:rsidR="00A300AD" w:rsidRPr="00A300AD">
        <w:rPr>
          <w:rFonts w:cstheme="minorHAnsi"/>
        </w:rPr>
        <w:t>robust evaluation of service utilisation, patient flow, clinical outcomes, and impact on surrounding GP practices.</w:t>
      </w:r>
    </w:p>
    <w:p w14:paraId="1ED37E5B" w14:textId="77777777" w:rsidR="004D5036" w:rsidRPr="004D5036" w:rsidRDefault="004A2A83" w:rsidP="002935DF">
      <w:pPr>
        <w:pStyle w:val="ListParagraph"/>
        <w:numPr>
          <w:ilvl w:val="3"/>
          <w:numId w:val="28"/>
        </w:numPr>
        <w:spacing w:line="259" w:lineRule="auto"/>
        <w:ind w:left="360"/>
        <w:rPr>
          <w:rFonts w:cstheme="minorHAnsi"/>
          <w:u w:val="single"/>
        </w:rPr>
      </w:pPr>
      <w:r w:rsidRPr="00A300AD">
        <w:rPr>
          <w:rFonts w:cstheme="minorHAnsi"/>
        </w:rPr>
        <w:t xml:space="preserve">GP practices should provide </w:t>
      </w:r>
      <w:r w:rsidR="00A300AD" w:rsidRPr="00A300AD">
        <w:rPr>
          <w:rFonts w:cstheme="minorHAnsi"/>
        </w:rPr>
        <w:t>feedback to the Board on any interface issues arising from the GP Walk-in Centre.</w:t>
      </w:r>
    </w:p>
    <w:p w14:paraId="278F7C61" w14:textId="2D3D2C26" w:rsidR="004A2A83" w:rsidRPr="00A300AD" w:rsidRDefault="00941169" w:rsidP="002935DF">
      <w:pPr>
        <w:pStyle w:val="ListParagraph"/>
        <w:numPr>
          <w:ilvl w:val="3"/>
          <w:numId w:val="28"/>
        </w:numPr>
        <w:spacing w:line="259" w:lineRule="auto"/>
        <w:ind w:left="360"/>
        <w:rPr>
          <w:rFonts w:cstheme="minorHAnsi"/>
          <w:u w:val="single"/>
        </w:rPr>
      </w:pPr>
      <w:r w:rsidRPr="00A300AD">
        <w:rPr>
          <w:rFonts w:cstheme="minorHAnsi"/>
        </w:rPr>
        <w:t>The health board will be considering the finances related to the service and the number of patients using the centre. The health board acknowledges and has stated to the Scottish Government that this model is more costly than core general practice.</w:t>
      </w:r>
    </w:p>
    <w:p w14:paraId="380E93FC" w14:textId="77777777" w:rsidR="004D5036" w:rsidRPr="004D5036" w:rsidRDefault="00A300AD" w:rsidP="00064D00">
      <w:pPr>
        <w:pStyle w:val="ListParagraph"/>
        <w:numPr>
          <w:ilvl w:val="3"/>
          <w:numId w:val="28"/>
        </w:numPr>
        <w:spacing w:line="259" w:lineRule="auto"/>
        <w:ind w:left="360"/>
        <w:rPr>
          <w:rFonts w:cstheme="minorHAnsi"/>
          <w:u w:val="single"/>
        </w:rPr>
      </w:pPr>
      <w:r w:rsidRPr="00A300AD">
        <w:rPr>
          <w:rFonts w:cstheme="minorHAnsi"/>
        </w:rPr>
        <w:t>The service is expected to have four clinicians working at any one time, comprising a mix of GPs and ANPs. Appointments will be 20 minutes in duration.</w:t>
      </w:r>
    </w:p>
    <w:p w14:paraId="3A0BE84D" w14:textId="32A326A7" w:rsidR="00941169" w:rsidRPr="00FF48AE" w:rsidRDefault="00941169" w:rsidP="00064D00">
      <w:pPr>
        <w:pStyle w:val="ListParagraph"/>
        <w:numPr>
          <w:ilvl w:val="3"/>
          <w:numId w:val="28"/>
        </w:numPr>
        <w:spacing w:line="259" w:lineRule="auto"/>
        <w:ind w:left="360"/>
        <w:rPr>
          <w:rFonts w:cstheme="minorHAnsi"/>
          <w:u w:val="single"/>
        </w:rPr>
      </w:pPr>
      <w:r>
        <w:rPr>
          <w:rFonts w:cstheme="minorHAnsi"/>
        </w:rPr>
        <w:t>It was agreed that an update would be provided by the board at the September GP Subcommittee meeting.</w:t>
      </w:r>
    </w:p>
    <w:p w14:paraId="5F5B8B78" w14:textId="77777777" w:rsidR="00FF48AE" w:rsidRPr="00FF48AE" w:rsidRDefault="00FF48AE" w:rsidP="00FF48AE">
      <w:pPr>
        <w:spacing w:line="259" w:lineRule="auto"/>
        <w:rPr>
          <w:rFonts w:cstheme="minorHAnsi"/>
          <w:b/>
          <w:bCs/>
        </w:rPr>
      </w:pPr>
    </w:p>
    <w:p w14:paraId="560259C0" w14:textId="77777777" w:rsidR="00FF48AE" w:rsidRDefault="00FF48AE" w:rsidP="00FF48AE">
      <w:pPr>
        <w:spacing w:line="259" w:lineRule="auto"/>
        <w:rPr>
          <w:rFonts w:cstheme="minorHAnsi"/>
          <w:b/>
          <w:bCs/>
        </w:rPr>
      </w:pPr>
      <w:r w:rsidRPr="00FF48AE">
        <w:rPr>
          <w:rFonts w:cstheme="minorHAnsi"/>
          <w:b/>
          <w:bCs/>
        </w:rPr>
        <w:t>GP Practice Workload &amp; Sustainability</w:t>
      </w:r>
    </w:p>
    <w:p w14:paraId="355A6F3C" w14:textId="20BF999B" w:rsidR="00C43268" w:rsidRPr="00FF48AE" w:rsidRDefault="00C43268" w:rsidP="00FF48AE">
      <w:pPr>
        <w:spacing w:line="259" w:lineRule="auto"/>
        <w:rPr>
          <w:rFonts w:cstheme="minorHAnsi"/>
        </w:rPr>
      </w:pPr>
      <w:r>
        <w:rPr>
          <w:rFonts w:cstheme="minorHAnsi"/>
          <w:b/>
          <w:bCs/>
        </w:rPr>
        <w:t>26/32</w:t>
      </w:r>
    </w:p>
    <w:p w14:paraId="333A0ED1" w14:textId="5B4F4769" w:rsidR="00FF48AE" w:rsidRDefault="00FF48AE" w:rsidP="002C3B65">
      <w:pPr>
        <w:pStyle w:val="ListParagraph"/>
        <w:numPr>
          <w:ilvl w:val="0"/>
          <w:numId w:val="29"/>
        </w:numPr>
        <w:spacing w:line="259" w:lineRule="auto"/>
        <w:ind w:left="360"/>
        <w:rPr>
          <w:rFonts w:cstheme="minorHAnsi"/>
          <w:u w:val="single"/>
        </w:rPr>
      </w:pPr>
      <w:bookmarkStart w:id="11" w:name="_Hlk157428805"/>
      <w:r w:rsidRPr="002C3B65">
        <w:rPr>
          <w:rFonts w:cstheme="minorHAnsi"/>
          <w:u w:val="single"/>
        </w:rPr>
        <w:t>NHS GGC GP Sit Rep</w:t>
      </w:r>
      <w:bookmarkEnd w:id="11"/>
      <w:r w:rsidRPr="002C3B65">
        <w:rPr>
          <w:rFonts w:cstheme="minorHAnsi"/>
          <w:u w:val="single"/>
        </w:rPr>
        <w:t>, 11</w:t>
      </w:r>
      <w:r w:rsidRPr="002C3B65">
        <w:rPr>
          <w:rFonts w:cstheme="minorHAnsi"/>
          <w:u w:val="single"/>
          <w:vertAlign w:val="superscript"/>
        </w:rPr>
        <w:t>th</w:t>
      </w:r>
      <w:r w:rsidRPr="002C3B65">
        <w:rPr>
          <w:rFonts w:cstheme="minorHAnsi"/>
          <w:u w:val="single"/>
        </w:rPr>
        <w:t xml:space="preserve"> May 2026 to 15</w:t>
      </w:r>
      <w:r w:rsidRPr="002C3B65">
        <w:rPr>
          <w:rFonts w:cstheme="minorHAnsi"/>
          <w:u w:val="single"/>
          <w:vertAlign w:val="superscript"/>
        </w:rPr>
        <w:t>th</w:t>
      </w:r>
      <w:r w:rsidRPr="002C3B65">
        <w:rPr>
          <w:rFonts w:cstheme="minorHAnsi"/>
          <w:u w:val="single"/>
        </w:rPr>
        <w:t xml:space="preserve"> June, Paper GPSub_20</w:t>
      </w:r>
    </w:p>
    <w:tbl>
      <w:tblPr>
        <w:tblStyle w:val="TableGrid"/>
        <w:tblW w:w="8704" w:type="dxa"/>
        <w:tblLook w:val="04A0" w:firstRow="1" w:lastRow="0" w:firstColumn="1" w:lastColumn="0" w:noHBand="0" w:noVBand="1"/>
      </w:tblPr>
      <w:tblGrid>
        <w:gridCol w:w="1278"/>
        <w:gridCol w:w="924"/>
        <w:gridCol w:w="924"/>
        <w:gridCol w:w="923"/>
        <w:gridCol w:w="923"/>
        <w:gridCol w:w="923"/>
        <w:gridCol w:w="923"/>
        <w:gridCol w:w="923"/>
        <w:gridCol w:w="963"/>
      </w:tblGrid>
      <w:tr w:rsidR="002C3B65" w:rsidRPr="00523D0D" w14:paraId="48EF252E" w14:textId="77777777" w:rsidTr="007E747D">
        <w:trPr>
          <w:trHeight w:val="300"/>
        </w:trPr>
        <w:tc>
          <w:tcPr>
            <w:tcW w:w="1278" w:type="dxa"/>
            <w:tcBorders>
              <w:bottom w:val="single" w:sz="4" w:space="0" w:color="auto"/>
            </w:tcBorders>
            <w:noWrap/>
            <w:hideMark/>
          </w:tcPr>
          <w:p w14:paraId="6EFBCB4F" w14:textId="77777777" w:rsidR="002C3B65" w:rsidRPr="00523D0D" w:rsidRDefault="002C3B65" w:rsidP="007E747D">
            <w:pPr>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Date</w:t>
            </w:r>
          </w:p>
        </w:tc>
        <w:tc>
          <w:tcPr>
            <w:tcW w:w="924" w:type="dxa"/>
            <w:tcBorders>
              <w:bottom w:val="single" w:sz="4" w:space="0" w:color="auto"/>
            </w:tcBorders>
            <w:noWrap/>
            <w:hideMark/>
          </w:tcPr>
          <w:p w14:paraId="4CB3912E" w14:textId="77777777" w:rsidR="002C3B65" w:rsidRPr="00523D0D" w:rsidRDefault="002C3B65" w:rsidP="007E747D">
            <w:pPr>
              <w:jc w:val="right"/>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0</w:t>
            </w:r>
          </w:p>
        </w:tc>
        <w:tc>
          <w:tcPr>
            <w:tcW w:w="924" w:type="dxa"/>
            <w:tcBorders>
              <w:bottom w:val="single" w:sz="4" w:space="0" w:color="auto"/>
            </w:tcBorders>
            <w:noWrap/>
            <w:hideMark/>
          </w:tcPr>
          <w:p w14:paraId="1FD578BD" w14:textId="77777777" w:rsidR="002C3B65" w:rsidRPr="00523D0D" w:rsidRDefault="002C3B65" w:rsidP="007E747D">
            <w:pPr>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1a</w:t>
            </w:r>
          </w:p>
        </w:tc>
        <w:tc>
          <w:tcPr>
            <w:tcW w:w="923" w:type="dxa"/>
            <w:tcBorders>
              <w:bottom w:val="single" w:sz="4" w:space="0" w:color="auto"/>
            </w:tcBorders>
            <w:noWrap/>
            <w:hideMark/>
          </w:tcPr>
          <w:p w14:paraId="5B85BB22" w14:textId="77777777" w:rsidR="002C3B65" w:rsidRPr="00523D0D" w:rsidRDefault="002C3B65" w:rsidP="007E747D">
            <w:pPr>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1b</w:t>
            </w:r>
          </w:p>
        </w:tc>
        <w:tc>
          <w:tcPr>
            <w:tcW w:w="923" w:type="dxa"/>
            <w:tcBorders>
              <w:bottom w:val="single" w:sz="4" w:space="0" w:color="auto"/>
            </w:tcBorders>
            <w:noWrap/>
            <w:hideMark/>
          </w:tcPr>
          <w:p w14:paraId="3468E457" w14:textId="77777777" w:rsidR="002C3B65" w:rsidRPr="00523D0D" w:rsidRDefault="002C3B65" w:rsidP="007E747D">
            <w:pPr>
              <w:jc w:val="right"/>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2</w:t>
            </w:r>
          </w:p>
        </w:tc>
        <w:tc>
          <w:tcPr>
            <w:tcW w:w="923" w:type="dxa"/>
            <w:tcBorders>
              <w:bottom w:val="single" w:sz="4" w:space="0" w:color="auto"/>
            </w:tcBorders>
            <w:noWrap/>
            <w:hideMark/>
          </w:tcPr>
          <w:p w14:paraId="370CA10B" w14:textId="77777777" w:rsidR="002C3B65" w:rsidRPr="00523D0D" w:rsidRDefault="002C3B65" w:rsidP="007E747D">
            <w:pPr>
              <w:jc w:val="right"/>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3</w:t>
            </w:r>
          </w:p>
        </w:tc>
        <w:tc>
          <w:tcPr>
            <w:tcW w:w="923" w:type="dxa"/>
            <w:tcBorders>
              <w:bottom w:val="single" w:sz="4" w:space="0" w:color="auto"/>
            </w:tcBorders>
            <w:noWrap/>
            <w:hideMark/>
          </w:tcPr>
          <w:p w14:paraId="7A8AE8C0" w14:textId="77777777" w:rsidR="002C3B65" w:rsidRPr="00523D0D" w:rsidRDefault="002C3B65" w:rsidP="007E747D">
            <w:pPr>
              <w:jc w:val="right"/>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4</w:t>
            </w:r>
          </w:p>
        </w:tc>
        <w:tc>
          <w:tcPr>
            <w:tcW w:w="923" w:type="dxa"/>
            <w:tcBorders>
              <w:bottom w:val="single" w:sz="4" w:space="0" w:color="auto"/>
            </w:tcBorders>
            <w:noWrap/>
            <w:hideMark/>
          </w:tcPr>
          <w:p w14:paraId="3E101213" w14:textId="77777777" w:rsidR="002C3B65" w:rsidRPr="00523D0D" w:rsidRDefault="002C3B65" w:rsidP="007E747D">
            <w:pPr>
              <w:jc w:val="right"/>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5</w:t>
            </w:r>
          </w:p>
        </w:tc>
        <w:tc>
          <w:tcPr>
            <w:tcW w:w="963" w:type="dxa"/>
            <w:tcBorders>
              <w:bottom w:val="single" w:sz="4" w:space="0" w:color="auto"/>
            </w:tcBorders>
            <w:noWrap/>
            <w:hideMark/>
          </w:tcPr>
          <w:p w14:paraId="0992345A" w14:textId="77777777" w:rsidR="002C3B65" w:rsidRPr="00523D0D" w:rsidRDefault="002C3B65" w:rsidP="007E747D">
            <w:pPr>
              <w:rPr>
                <w:rFonts w:ascii="Calibri" w:eastAsia="Times New Roman" w:hAnsi="Calibri" w:cs="Calibri"/>
                <w:b/>
                <w:bCs/>
                <w:color w:val="000000"/>
                <w:lang w:eastAsia="en-GB"/>
              </w:rPr>
            </w:pPr>
            <w:r w:rsidRPr="00523D0D">
              <w:rPr>
                <w:rFonts w:ascii="Calibri" w:eastAsia="Times New Roman" w:hAnsi="Calibri" w:cs="Calibri"/>
                <w:b/>
                <w:bCs/>
                <w:color w:val="000000"/>
                <w:lang w:eastAsia="en-GB"/>
              </w:rPr>
              <w:t>list closures</w:t>
            </w:r>
          </w:p>
        </w:tc>
      </w:tr>
      <w:tr w:rsidR="002C3B65" w:rsidRPr="001054C5" w14:paraId="6E2118A5" w14:textId="77777777" w:rsidTr="007E747D">
        <w:trPr>
          <w:trHeight w:val="300"/>
        </w:trPr>
        <w:tc>
          <w:tcPr>
            <w:tcW w:w="1278" w:type="dxa"/>
            <w:noWrap/>
            <w:hideMark/>
          </w:tcPr>
          <w:p w14:paraId="1972304D" w14:textId="77777777" w:rsidR="002C3B65" w:rsidRPr="001054C5" w:rsidRDefault="002C3B65" w:rsidP="007E747D">
            <w:pPr>
              <w:jc w:val="right"/>
              <w:rPr>
                <w:rFonts w:ascii="Calibri" w:eastAsia="Times New Roman" w:hAnsi="Calibri" w:cs="Calibri"/>
                <w:color w:val="000000"/>
                <w:lang w:eastAsia="en-GB"/>
              </w:rPr>
            </w:pPr>
            <w:r w:rsidRPr="001054C5">
              <w:rPr>
                <w:rFonts w:ascii="Calibri" w:eastAsia="Times New Roman" w:hAnsi="Calibri" w:cs="Calibri"/>
                <w:color w:val="000000"/>
                <w:lang w:eastAsia="en-GB"/>
              </w:rPr>
              <w:t>11/05/2026</w:t>
            </w:r>
          </w:p>
        </w:tc>
        <w:tc>
          <w:tcPr>
            <w:tcW w:w="924" w:type="dxa"/>
            <w:noWrap/>
            <w:hideMark/>
          </w:tcPr>
          <w:p w14:paraId="4CB3C49A" w14:textId="77777777" w:rsidR="002C3B65" w:rsidRPr="001054C5" w:rsidRDefault="002C3B65" w:rsidP="007E747D">
            <w:pPr>
              <w:jc w:val="right"/>
              <w:rPr>
                <w:rFonts w:ascii="Calibri" w:eastAsia="Times New Roman" w:hAnsi="Calibri" w:cs="Calibri"/>
                <w:color w:val="000000"/>
                <w:lang w:eastAsia="en-GB"/>
              </w:rPr>
            </w:pPr>
            <w:r w:rsidRPr="001054C5">
              <w:rPr>
                <w:rFonts w:ascii="Calibri" w:eastAsia="Times New Roman" w:hAnsi="Calibri" w:cs="Calibri"/>
                <w:color w:val="000000"/>
                <w:lang w:eastAsia="en-GB"/>
              </w:rPr>
              <w:t>0</w:t>
            </w:r>
          </w:p>
        </w:tc>
        <w:tc>
          <w:tcPr>
            <w:tcW w:w="924" w:type="dxa"/>
            <w:noWrap/>
            <w:hideMark/>
          </w:tcPr>
          <w:p w14:paraId="278A1E7D" w14:textId="77777777" w:rsidR="002C3B65" w:rsidRPr="001054C5" w:rsidRDefault="002C3B65" w:rsidP="007E747D">
            <w:pPr>
              <w:jc w:val="right"/>
              <w:rPr>
                <w:rFonts w:ascii="Calibri" w:eastAsia="Times New Roman" w:hAnsi="Calibri" w:cs="Calibri"/>
                <w:color w:val="000000"/>
                <w:lang w:eastAsia="en-GB"/>
              </w:rPr>
            </w:pPr>
            <w:r w:rsidRPr="001054C5">
              <w:rPr>
                <w:rFonts w:ascii="Calibri" w:eastAsia="Times New Roman" w:hAnsi="Calibri" w:cs="Calibri"/>
                <w:color w:val="000000"/>
                <w:lang w:eastAsia="en-GB"/>
              </w:rPr>
              <w:t>210</w:t>
            </w:r>
          </w:p>
        </w:tc>
        <w:tc>
          <w:tcPr>
            <w:tcW w:w="923" w:type="dxa"/>
            <w:noWrap/>
            <w:hideMark/>
          </w:tcPr>
          <w:p w14:paraId="78C07361" w14:textId="77777777" w:rsidR="002C3B65" w:rsidRPr="001054C5" w:rsidRDefault="002C3B65" w:rsidP="007E747D">
            <w:pPr>
              <w:jc w:val="right"/>
              <w:rPr>
                <w:rFonts w:ascii="Calibri" w:eastAsia="Times New Roman" w:hAnsi="Calibri" w:cs="Calibri"/>
                <w:color w:val="000000"/>
                <w:lang w:eastAsia="en-GB"/>
              </w:rPr>
            </w:pPr>
            <w:r w:rsidRPr="001054C5">
              <w:rPr>
                <w:rFonts w:ascii="Calibri" w:eastAsia="Times New Roman" w:hAnsi="Calibri" w:cs="Calibri"/>
                <w:color w:val="000000"/>
                <w:lang w:eastAsia="en-GB"/>
              </w:rPr>
              <w:t>0</w:t>
            </w:r>
          </w:p>
        </w:tc>
        <w:tc>
          <w:tcPr>
            <w:tcW w:w="923" w:type="dxa"/>
            <w:noWrap/>
            <w:hideMark/>
          </w:tcPr>
          <w:p w14:paraId="0A174581" w14:textId="77777777" w:rsidR="002C3B65" w:rsidRPr="001054C5" w:rsidRDefault="002C3B65" w:rsidP="007E747D">
            <w:pPr>
              <w:jc w:val="right"/>
              <w:rPr>
                <w:rFonts w:ascii="Calibri" w:eastAsia="Times New Roman" w:hAnsi="Calibri" w:cs="Calibri"/>
                <w:color w:val="000000"/>
                <w:lang w:eastAsia="en-GB"/>
              </w:rPr>
            </w:pPr>
            <w:r w:rsidRPr="001054C5">
              <w:rPr>
                <w:rFonts w:ascii="Calibri" w:eastAsia="Times New Roman" w:hAnsi="Calibri" w:cs="Calibri"/>
                <w:color w:val="000000"/>
                <w:lang w:eastAsia="en-GB"/>
              </w:rPr>
              <w:t>13</w:t>
            </w:r>
          </w:p>
        </w:tc>
        <w:tc>
          <w:tcPr>
            <w:tcW w:w="923" w:type="dxa"/>
            <w:noWrap/>
            <w:hideMark/>
          </w:tcPr>
          <w:p w14:paraId="39D223AE" w14:textId="77777777" w:rsidR="002C3B65" w:rsidRPr="001054C5" w:rsidRDefault="002C3B65" w:rsidP="007E747D">
            <w:pPr>
              <w:jc w:val="right"/>
              <w:rPr>
                <w:rFonts w:ascii="Calibri" w:eastAsia="Times New Roman" w:hAnsi="Calibri" w:cs="Calibri"/>
                <w:color w:val="000000"/>
                <w:lang w:eastAsia="en-GB"/>
              </w:rPr>
            </w:pPr>
            <w:r w:rsidRPr="001054C5">
              <w:rPr>
                <w:rFonts w:ascii="Calibri" w:eastAsia="Times New Roman" w:hAnsi="Calibri" w:cs="Calibri"/>
                <w:color w:val="000000"/>
                <w:lang w:eastAsia="en-GB"/>
              </w:rPr>
              <w:t>0</w:t>
            </w:r>
          </w:p>
        </w:tc>
        <w:tc>
          <w:tcPr>
            <w:tcW w:w="923" w:type="dxa"/>
            <w:noWrap/>
            <w:hideMark/>
          </w:tcPr>
          <w:p w14:paraId="4DAF9E6E" w14:textId="77777777" w:rsidR="002C3B65" w:rsidRPr="001054C5" w:rsidRDefault="002C3B65" w:rsidP="007E747D">
            <w:pPr>
              <w:jc w:val="right"/>
              <w:rPr>
                <w:rFonts w:ascii="Calibri" w:eastAsia="Times New Roman" w:hAnsi="Calibri" w:cs="Calibri"/>
                <w:color w:val="000000"/>
                <w:lang w:eastAsia="en-GB"/>
              </w:rPr>
            </w:pPr>
            <w:r w:rsidRPr="001054C5">
              <w:rPr>
                <w:rFonts w:ascii="Calibri" w:eastAsia="Times New Roman" w:hAnsi="Calibri" w:cs="Calibri"/>
                <w:color w:val="000000"/>
                <w:lang w:eastAsia="en-GB"/>
              </w:rPr>
              <w:t>0</w:t>
            </w:r>
          </w:p>
        </w:tc>
        <w:tc>
          <w:tcPr>
            <w:tcW w:w="923" w:type="dxa"/>
            <w:noWrap/>
            <w:hideMark/>
          </w:tcPr>
          <w:p w14:paraId="655DC218" w14:textId="77777777" w:rsidR="002C3B65" w:rsidRPr="001054C5" w:rsidRDefault="002C3B65" w:rsidP="007E747D">
            <w:pPr>
              <w:jc w:val="right"/>
              <w:rPr>
                <w:rFonts w:ascii="Calibri" w:eastAsia="Times New Roman" w:hAnsi="Calibri" w:cs="Calibri"/>
                <w:color w:val="000000"/>
                <w:lang w:eastAsia="en-GB"/>
              </w:rPr>
            </w:pPr>
            <w:r w:rsidRPr="001054C5">
              <w:rPr>
                <w:rFonts w:ascii="Calibri" w:eastAsia="Times New Roman" w:hAnsi="Calibri" w:cs="Calibri"/>
                <w:color w:val="000000"/>
                <w:lang w:eastAsia="en-GB"/>
              </w:rPr>
              <w:t>0</w:t>
            </w:r>
          </w:p>
        </w:tc>
        <w:tc>
          <w:tcPr>
            <w:tcW w:w="963" w:type="dxa"/>
            <w:noWrap/>
            <w:hideMark/>
          </w:tcPr>
          <w:p w14:paraId="58EBEE48" w14:textId="77777777" w:rsidR="002C3B65" w:rsidRPr="001054C5" w:rsidRDefault="002C3B65" w:rsidP="007E747D">
            <w:pPr>
              <w:jc w:val="right"/>
              <w:rPr>
                <w:rFonts w:ascii="Calibri" w:eastAsia="Times New Roman" w:hAnsi="Calibri" w:cs="Calibri"/>
                <w:color w:val="000000"/>
                <w:lang w:eastAsia="en-GB"/>
              </w:rPr>
            </w:pPr>
            <w:r w:rsidRPr="001054C5">
              <w:rPr>
                <w:rFonts w:ascii="Calibri" w:eastAsia="Times New Roman" w:hAnsi="Calibri" w:cs="Calibri"/>
                <w:color w:val="000000"/>
                <w:lang w:eastAsia="en-GB"/>
              </w:rPr>
              <w:t>10</w:t>
            </w:r>
          </w:p>
        </w:tc>
      </w:tr>
      <w:tr w:rsidR="002C3B65" w:rsidRPr="00C6702E" w14:paraId="33160239" w14:textId="77777777" w:rsidTr="007E747D">
        <w:trPr>
          <w:trHeight w:val="300"/>
        </w:trPr>
        <w:tc>
          <w:tcPr>
            <w:tcW w:w="1278" w:type="dxa"/>
            <w:noWrap/>
            <w:hideMark/>
          </w:tcPr>
          <w:p w14:paraId="06BB5FA4"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18/05/2026</w:t>
            </w:r>
          </w:p>
        </w:tc>
        <w:tc>
          <w:tcPr>
            <w:tcW w:w="924" w:type="dxa"/>
            <w:noWrap/>
            <w:hideMark/>
          </w:tcPr>
          <w:p w14:paraId="5D50C70E"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4" w:type="dxa"/>
            <w:noWrap/>
            <w:hideMark/>
          </w:tcPr>
          <w:p w14:paraId="7EF151ED"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209</w:t>
            </w:r>
          </w:p>
        </w:tc>
        <w:tc>
          <w:tcPr>
            <w:tcW w:w="923" w:type="dxa"/>
            <w:noWrap/>
            <w:hideMark/>
          </w:tcPr>
          <w:p w14:paraId="0AE0FC3E"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743995D6"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14</w:t>
            </w:r>
          </w:p>
        </w:tc>
        <w:tc>
          <w:tcPr>
            <w:tcW w:w="923" w:type="dxa"/>
            <w:noWrap/>
            <w:hideMark/>
          </w:tcPr>
          <w:p w14:paraId="60361F3D"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1759419A"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56366DA3"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63" w:type="dxa"/>
            <w:noWrap/>
            <w:hideMark/>
          </w:tcPr>
          <w:p w14:paraId="0118E501"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11</w:t>
            </w:r>
          </w:p>
        </w:tc>
      </w:tr>
      <w:tr w:rsidR="002C3B65" w:rsidRPr="00C6702E" w14:paraId="3DDF36E6" w14:textId="77777777" w:rsidTr="007E747D">
        <w:trPr>
          <w:trHeight w:val="300"/>
        </w:trPr>
        <w:tc>
          <w:tcPr>
            <w:tcW w:w="1278" w:type="dxa"/>
            <w:noWrap/>
            <w:hideMark/>
          </w:tcPr>
          <w:p w14:paraId="6E601AA6"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25/05/2026</w:t>
            </w:r>
          </w:p>
        </w:tc>
        <w:tc>
          <w:tcPr>
            <w:tcW w:w="924" w:type="dxa"/>
            <w:noWrap/>
            <w:hideMark/>
          </w:tcPr>
          <w:p w14:paraId="77EB44C1"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4" w:type="dxa"/>
            <w:noWrap/>
            <w:hideMark/>
          </w:tcPr>
          <w:p w14:paraId="17B99EAC"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209</w:t>
            </w:r>
          </w:p>
        </w:tc>
        <w:tc>
          <w:tcPr>
            <w:tcW w:w="923" w:type="dxa"/>
            <w:noWrap/>
            <w:hideMark/>
          </w:tcPr>
          <w:p w14:paraId="4708D805"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3953FFC0"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14</w:t>
            </w:r>
          </w:p>
        </w:tc>
        <w:tc>
          <w:tcPr>
            <w:tcW w:w="923" w:type="dxa"/>
            <w:noWrap/>
            <w:hideMark/>
          </w:tcPr>
          <w:p w14:paraId="66872A9C"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6A7A95E9"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7BD5F36B"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63" w:type="dxa"/>
            <w:noWrap/>
            <w:hideMark/>
          </w:tcPr>
          <w:p w14:paraId="59E83FAA"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11</w:t>
            </w:r>
          </w:p>
        </w:tc>
      </w:tr>
      <w:tr w:rsidR="002C3B65" w:rsidRPr="00C6702E" w14:paraId="04A94E9E" w14:textId="77777777" w:rsidTr="007E747D">
        <w:trPr>
          <w:trHeight w:val="300"/>
        </w:trPr>
        <w:tc>
          <w:tcPr>
            <w:tcW w:w="1278" w:type="dxa"/>
            <w:noWrap/>
            <w:hideMark/>
          </w:tcPr>
          <w:p w14:paraId="3749DCBD"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01/06/2026</w:t>
            </w:r>
          </w:p>
        </w:tc>
        <w:tc>
          <w:tcPr>
            <w:tcW w:w="924" w:type="dxa"/>
            <w:noWrap/>
            <w:hideMark/>
          </w:tcPr>
          <w:p w14:paraId="27A60791"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4" w:type="dxa"/>
            <w:noWrap/>
            <w:hideMark/>
          </w:tcPr>
          <w:p w14:paraId="277D1567"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209</w:t>
            </w:r>
          </w:p>
        </w:tc>
        <w:tc>
          <w:tcPr>
            <w:tcW w:w="923" w:type="dxa"/>
            <w:noWrap/>
            <w:hideMark/>
          </w:tcPr>
          <w:p w14:paraId="04AACE17"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27B0E847"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14</w:t>
            </w:r>
          </w:p>
        </w:tc>
        <w:tc>
          <w:tcPr>
            <w:tcW w:w="923" w:type="dxa"/>
            <w:noWrap/>
            <w:hideMark/>
          </w:tcPr>
          <w:p w14:paraId="48CBADCE"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48D792A6"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1121C9D7"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63" w:type="dxa"/>
            <w:noWrap/>
            <w:hideMark/>
          </w:tcPr>
          <w:p w14:paraId="58490749"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11</w:t>
            </w:r>
          </w:p>
        </w:tc>
      </w:tr>
      <w:tr w:rsidR="002C3B65" w:rsidRPr="00C6702E" w14:paraId="77C003F0" w14:textId="77777777" w:rsidTr="007E747D">
        <w:trPr>
          <w:trHeight w:val="300"/>
        </w:trPr>
        <w:tc>
          <w:tcPr>
            <w:tcW w:w="1278" w:type="dxa"/>
            <w:noWrap/>
            <w:hideMark/>
          </w:tcPr>
          <w:p w14:paraId="6E39C7BB"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08/06/2026</w:t>
            </w:r>
          </w:p>
        </w:tc>
        <w:tc>
          <w:tcPr>
            <w:tcW w:w="924" w:type="dxa"/>
            <w:noWrap/>
            <w:hideMark/>
          </w:tcPr>
          <w:p w14:paraId="39B043F3"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4" w:type="dxa"/>
            <w:noWrap/>
            <w:hideMark/>
          </w:tcPr>
          <w:p w14:paraId="3A2B9439"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209</w:t>
            </w:r>
          </w:p>
        </w:tc>
        <w:tc>
          <w:tcPr>
            <w:tcW w:w="923" w:type="dxa"/>
            <w:noWrap/>
            <w:hideMark/>
          </w:tcPr>
          <w:p w14:paraId="34E22B78"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63AA6F7C"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14</w:t>
            </w:r>
          </w:p>
        </w:tc>
        <w:tc>
          <w:tcPr>
            <w:tcW w:w="923" w:type="dxa"/>
            <w:noWrap/>
            <w:hideMark/>
          </w:tcPr>
          <w:p w14:paraId="1C83E089"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0A499E3F"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45488C63"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63" w:type="dxa"/>
            <w:noWrap/>
            <w:hideMark/>
          </w:tcPr>
          <w:p w14:paraId="0B3E7FF8"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11</w:t>
            </w:r>
          </w:p>
        </w:tc>
      </w:tr>
      <w:tr w:rsidR="002C3B65" w:rsidRPr="00C6702E" w14:paraId="6F4DF7FE" w14:textId="77777777" w:rsidTr="007E747D">
        <w:trPr>
          <w:trHeight w:val="300"/>
        </w:trPr>
        <w:tc>
          <w:tcPr>
            <w:tcW w:w="1278" w:type="dxa"/>
            <w:noWrap/>
            <w:hideMark/>
          </w:tcPr>
          <w:p w14:paraId="1C640CE5"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15/06/2026</w:t>
            </w:r>
          </w:p>
        </w:tc>
        <w:tc>
          <w:tcPr>
            <w:tcW w:w="924" w:type="dxa"/>
            <w:noWrap/>
            <w:hideMark/>
          </w:tcPr>
          <w:p w14:paraId="454F66A9"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4" w:type="dxa"/>
            <w:noWrap/>
            <w:hideMark/>
          </w:tcPr>
          <w:p w14:paraId="12224773"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210</w:t>
            </w:r>
          </w:p>
        </w:tc>
        <w:tc>
          <w:tcPr>
            <w:tcW w:w="923" w:type="dxa"/>
            <w:noWrap/>
            <w:hideMark/>
          </w:tcPr>
          <w:p w14:paraId="481BC963"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6D09C729"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13</w:t>
            </w:r>
          </w:p>
        </w:tc>
        <w:tc>
          <w:tcPr>
            <w:tcW w:w="923" w:type="dxa"/>
            <w:noWrap/>
            <w:hideMark/>
          </w:tcPr>
          <w:p w14:paraId="2B2A54D3"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1204EFE8"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23" w:type="dxa"/>
            <w:noWrap/>
            <w:hideMark/>
          </w:tcPr>
          <w:p w14:paraId="6274552C"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0</w:t>
            </w:r>
          </w:p>
        </w:tc>
        <w:tc>
          <w:tcPr>
            <w:tcW w:w="963" w:type="dxa"/>
            <w:noWrap/>
            <w:hideMark/>
          </w:tcPr>
          <w:p w14:paraId="23F4542D" w14:textId="77777777" w:rsidR="002C3B65" w:rsidRPr="00C6702E" w:rsidRDefault="002C3B65" w:rsidP="007E747D">
            <w:pPr>
              <w:jc w:val="right"/>
              <w:rPr>
                <w:rFonts w:ascii="Calibri" w:eastAsia="Times New Roman" w:hAnsi="Calibri" w:cs="Calibri"/>
                <w:color w:val="000000"/>
                <w:lang w:eastAsia="en-GB"/>
              </w:rPr>
            </w:pPr>
            <w:r w:rsidRPr="00C6702E">
              <w:rPr>
                <w:rFonts w:ascii="Calibri" w:eastAsia="Times New Roman" w:hAnsi="Calibri" w:cs="Calibri"/>
                <w:color w:val="000000"/>
                <w:lang w:eastAsia="en-GB"/>
              </w:rPr>
              <w:t>11</w:t>
            </w:r>
          </w:p>
        </w:tc>
      </w:tr>
    </w:tbl>
    <w:p w14:paraId="1D2FCD94" w14:textId="468F654B" w:rsidR="002C3B65" w:rsidRPr="002C3B65" w:rsidRDefault="002C3B65" w:rsidP="002C3B65">
      <w:pPr>
        <w:pStyle w:val="ListParagraph"/>
        <w:numPr>
          <w:ilvl w:val="0"/>
          <w:numId w:val="30"/>
        </w:numPr>
        <w:ind w:left="360"/>
        <w:rPr>
          <w:rFonts w:cstheme="minorHAnsi"/>
        </w:rPr>
      </w:pPr>
      <w:r w:rsidRPr="002C3B65">
        <w:rPr>
          <w:rFonts w:cstheme="minorHAnsi"/>
        </w:rPr>
        <w:t>The high number of list closures was remarked upon as likely being related to the pressures being faced by practices as a results of the GP IT System migration.</w:t>
      </w:r>
    </w:p>
    <w:p w14:paraId="4B50D679" w14:textId="77777777" w:rsidR="002C3B65" w:rsidRDefault="002C3B65" w:rsidP="002C3B65">
      <w:pPr>
        <w:rPr>
          <w:rFonts w:cstheme="minorHAnsi"/>
          <w:b/>
          <w:bCs/>
        </w:rPr>
      </w:pPr>
    </w:p>
    <w:p w14:paraId="2F1372B5" w14:textId="5FD49D78" w:rsidR="00611874" w:rsidRPr="00611874" w:rsidRDefault="00FF48AE" w:rsidP="00611874">
      <w:pPr>
        <w:pStyle w:val="ListParagraph"/>
        <w:numPr>
          <w:ilvl w:val="0"/>
          <w:numId w:val="28"/>
        </w:numPr>
        <w:ind w:left="360"/>
        <w:rPr>
          <w:rFonts w:ascii="Calibri" w:eastAsia="Calibri" w:hAnsi="Calibri" w:cs="Times New Roman"/>
          <w:b/>
          <w:bCs/>
          <w:kern w:val="2"/>
          <w14:ligatures w14:val="standardContextual"/>
        </w:rPr>
      </w:pPr>
      <w:r w:rsidRPr="00611874">
        <w:rPr>
          <w:rFonts w:cstheme="minorHAnsi"/>
          <w:u w:val="single"/>
        </w:rPr>
        <w:t>LMC GP Practice Situation Survey,</w:t>
      </w:r>
      <w:bookmarkStart w:id="12" w:name="_Hlk219904157"/>
      <w:r w:rsidRPr="00611874">
        <w:rPr>
          <w:rFonts w:cstheme="minorHAnsi"/>
          <w:u w:val="single"/>
        </w:rPr>
        <w:t xml:space="preserve"> </w:t>
      </w:r>
      <w:bookmarkEnd w:id="12"/>
      <w:r w:rsidRPr="00611874">
        <w:rPr>
          <w:rFonts w:cstheme="minorHAnsi"/>
          <w:u w:val="single"/>
        </w:rPr>
        <w:t>4</w:t>
      </w:r>
      <w:r w:rsidRPr="00611874">
        <w:rPr>
          <w:rFonts w:cstheme="minorHAnsi"/>
          <w:u w:val="single"/>
          <w:vertAlign w:val="superscript"/>
        </w:rPr>
        <w:t>th</w:t>
      </w:r>
      <w:r w:rsidRPr="00611874">
        <w:rPr>
          <w:rFonts w:cstheme="minorHAnsi"/>
          <w:u w:val="single"/>
        </w:rPr>
        <w:t xml:space="preserve"> May 2026 to 8</w:t>
      </w:r>
      <w:r w:rsidRPr="00611874">
        <w:rPr>
          <w:rFonts w:cstheme="minorHAnsi"/>
          <w:u w:val="single"/>
          <w:vertAlign w:val="superscript"/>
        </w:rPr>
        <w:t>th</w:t>
      </w:r>
      <w:r w:rsidRPr="00611874">
        <w:rPr>
          <w:rFonts w:cstheme="minorHAnsi"/>
          <w:u w:val="single"/>
        </w:rPr>
        <w:t xml:space="preserve"> June 2026, Paper GPSub_21</w:t>
      </w:r>
      <w:bookmarkStart w:id="13" w:name="_Hlk202349984"/>
    </w:p>
    <w:p w14:paraId="1824677E" w14:textId="77777777" w:rsidR="00611874" w:rsidRPr="00611874" w:rsidRDefault="00611874" w:rsidP="00611874">
      <w:pPr>
        <w:pStyle w:val="ListParagraph"/>
        <w:numPr>
          <w:ilvl w:val="0"/>
          <w:numId w:val="30"/>
        </w:numPr>
        <w:spacing w:after="160" w:line="259" w:lineRule="auto"/>
        <w:ind w:left="360"/>
        <w:rPr>
          <w:rFonts w:ascii="Calibri" w:eastAsia="Calibri" w:hAnsi="Calibri" w:cs="Times New Roman"/>
          <w:kern w:val="2"/>
          <w14:ligatures w14:val="standardContextual"/>
        </w:rPr>
      </w:pPr>
      <w:r w:rsidRPr="00611874">
        <w:rPr>
          <w:rFonts w:ascii="Calibri" w:eastAsia="Calibri" w:hAnsi="Calibri" w:cs="Times New Roman"/>
          <w:b/>
          <w:bCs/>
          <w:kern w:val="2"/>
          <w14:ligatures w14:val="standardContextual"/>
        </w:rPr>
        <w:t>Green</w:t>
      </w:r>
      <w:r w:rsidRPr="00611874">
        <w:rPr>
          <w:rFonts w:ascii="Calibri" w:eastAsia="Calibri" w:hAnsi="Calibri" w:cs="Times New Roman"/>
          <w:kern w:val="2"/>
          <w14:ligatures w14:val="standardContextual"/>
        </w:rPr>
        <w:t>-Your practice felt able to manage its services and did not feel particular pressures.</w:t>
      </w:r>
    </w:p>
    <w:p w14:paraId="47A3092A" w14:textId="77777777" w:rsidR="00611874" w:rsidRPr="00611874" w:rsidRDefault="00611874" w:rsidP="00611874">
      <w:pPr>
        <w:pStyle w:val="ListParagraph"/>
        <w:numPr>
          <w:ilvl w:val="0"/>
          <w:numId w:val="30"/>
        </w:numPr>
        <w:spacing w:after="160" w:line="259" w:lineRule="auto"/>
        <w:ind w:left="360"/>
        <w:rPr>
          <w:rFonts w:ascii="Calibri" w:eastAsia="Calibri" w:hAnsi="Calibri" w:cs="Times New Roman"/>
          <w:kern w:val="2"/>
          <w14:ligatures w14:val="standardContextual"/>
        </w:rPr>
      </w:pPr>
      <w:r w:rsidRPr="00611874">
        <w:rPr>
          <w:rFonts w:ascii="Calibri" w:eastAsia="Calibri" w:hAnsi="Calibri" w:cs="Times New Roman"/>
          <w:b/>
          <w:bCs/>
          <w:kern w:val="2"/>
          <w14:ligatures w14:val="standardContextual"/>
        </w:rPr>
        <w:t>Amber</w:t>
      </w:r>
      <w:r w:rsidRPr="00611874">
        <w:rPr>
          <w:rFonts w:ascii="Calibri" w:eastAsia="Calibri" w:hAnsi="Calibri" w:cs="Times New Roman"/>
          <w:kern w:val="2"/>
          <w14:ligatures w14:val="standardContextual"/>
        </w:rPr>
        <w:t>- Your practice was able to cope but experienced some level of pressure during the week.</w:t>
      </w:r>
    </w:p>
    <w:p w14:paraId="54A37988" w14:textId="77777777" w:rsidR="00611874" w:rsidRPr="00611874" w:rsidRDefault="00611874" w:rsidP="00611874">
      <w:pPr>
        <w:pStyle w:val="ListParagraph"/>
        <w:numPr>
          <w:ilvl w:val="0"/>
          <w:numId w:val="30"/>
        </w:numPr>
        <w:spacing w:after="160" w:line="259" w:lineRule="auto"/>
        <w:ind w:left="360"/>
        <w:rPr>
          <w:rFonts w:ascii="Calibri" w:eastAsia="Calibri" w:hAnsi="Calibri" w:cs="Times New Roman"/>
          <w:kern w:val="2"/>
          <w14:ligatures w14:val="standardContextual"/>
        </w:rPr>
      </w:pPr>
      <w:r w:rsidRPr="00611874">
        <w:rPr>
          <w:rFonts w:ascii="Calibri" w:eastAsia="Calibri" w:hAnsi="Calibri" w:cs="Times New Roman"/>
          <w:b/>
          <w:bCs/>
          <w:kern w:val="2"/>
          <w14:ligatures w14:val="standardContextual"/>
        </w:rPr>
        <w:t>Red</w:t>
      </w:r>
      <w:r w:rsidRPr="00611874">
        <w:rPr>
          <w:rFonts w:ascii="Calibri" w:eastAsia="Calibri" w:hAnsi="Calibri" w:cs="Times New Roman"/>
          <w:kern w:val="2"/>
          <w14:ligatures w14:val="standardContextual"/>
        </w:rPr>
        <w:t>-Your practice team felt extremely pressured.</w:t>
      </w:r>
    </w:p>
    <w:p w14:paraId="51C784FB" w14:textId="2D701D97" w:rsidR="00611874" w:rsidRPr="00611874" w:rsidRDefault="00611874" w:rsidP="00611874">
      <w:pPr>
        <w:pStyle w:val="ListParagraph"/>
        <w:numPr>
          <w:ilvl w:val="0"/>
          <w:numId w:val="30"/>
        </w:numPr>
        <w:spacing w:after="160" w:line="259" w:lineRule="auto"/>
        <w:ind w:left="360"/>
        <w:rPr>
          <w:rFonts w:ascii="Calibri" w:eastAsia="Calibri" w:hAnsi="Calibri" w:cs="Times New Roman"/>
          <w:kern w:val="2"/>
          <w14:ligatures w14:val="standardContextual"/>
        </w:rPr>
      </w:pPr>
      <w:r w:rsidRPr="00611874">
        <w:rPr>
          <w:rFonts w:ascii="Calibri" w:eastAsia="Calibri" w:hAnsi="Calibri" w:cs="Times New Roman"/>
          <w:b/>
          <w:bCs/>
          <w:kern w:val="2"/>
          <w14:ligatures w14:val="standardContextual"/>
        </w:rPr>
        <w:t>Black</w:t>
      </w:r>
      <w:r w:rsidRPr="00611874">
        <w:rPr>
          <w:rFonts w:ascii="Calibri" w:eastAsia="Calibri" w:hAnsi="Calibri" w:cs="Times New Roman"/>
          <w:kern w:val="2"/>
          <w14:ligatures w14:val="standardContextual"/>
        </w:rPr>
        <w:t>- Your practice was unable to meet workload demand safely.</w:t>
      </w:r>
    </w:p>
    <w:tbl>
      <w:tblPr>
        <w:tblStyle w:val="TableGrid5"/>
        <w:tblW w:w="9918" w:type="dxa"/>
        <w:tblLook w:val="04A0" w:firstRow="1" w:lastRow="0" w:firstColumn="1" w:lastColumn="0" w:noHBand="0" w:noVBand="1"/>
      </w:tblPr>
      <w:tblGrid>
        <w:gridCol w:w="1298"/>
        <w:gridCol w:w="774"/>
        <w:gridCol w:w="1042"/>
        <w:gridCol w:w="836"/>
        <w:gridCol w:w="1148"/>
        <w:gridCol w:w="566"/>
        <w:gridCol w:w="978"/>
        <w:gridCol w:w="803"/>
        <w:gridCol w:w="951"/>
        <w:gridCol w:w="1522"/>
      </w:tblGrid>
      <w:tr w:rsidR="00611874" w:rsidRPr="00611874" w14:paraId="781FEFC2" w14:textId="77777777" w:rsidTr="002B3D77">
        <w:trPr>
          <w:trHeight w:val="300"/>
        </w:trPr>
        <w:tc>
          <w:tcPr>
            <w:tcW w:w="1298" w:type="dxa"/>
            <w:noWrap/>
            <w:hideMark/>
          </w:tcPr>
          <w:p w14:paraId="6E455FDB" w14:textId="77777777" w:rsidR="00611874" w:rsidRPr="00611874" w:rsidRDefault="00611874" w:rsidP="00611874">
            <w:pPr>
              <w:spacing w:after="160" w:line="259" w:lineRule="auto"/>
              <w:rPr>
                <w:rFonts w:ascii="Calibri" w:hAnsi="Calibri" w:cs="Calibri"/>
                <w:b/>
                <w:bCs/>
                <w:color w:val="000000"/>
              </w:rPr>
            </w:pPr>
            <w:r w:rsidRPr="00611874">
              <w:rPr>
                <w:rFonts w:ascii="Calibri" w:hAnsi="Calibri" w:cs="Calibri"/>
                <w:b/>
                <w:bCs/>
                <w:color w:val="000000"/>
              </w:rPr>
              <w:t>Week Beginning</w:t>
            </w:r>
          </w:p>
        </w:tc>
        <w:tc>
          <w:tcPr>
            <w:tcW w:w="774" w:type="dxa"/>
            <w:noWrap/>
            <w:hideMark/>
          </w:tcPr>
          <w:p w14:paraId="767B4A1E" w14:textId="77777777" w:rsidR="00611874" w:rsidRPr="00611874" w:rsidRDefault="00611874" w:rsidP="00611874">
            <w:pPr>
              <w:spacing w:after="160" w:line="259" w:lineRule="auto"/>
              <w:rPr>
                <w:rFonts w:ascii="Calibri" w:hAnsi="Calibri" w:cs="Calibri"/>
                <w:b/>
                <w:bCs/>
                <w:color w:val="000000"/>
              </w:rPr>
            </w:pPr>
            <w:r w:rsidRPr="00611874">
              <w:rPr>
                <w:rFonts w:ascii="Calibri" w:hAnsi="Calibri" w:cs="Calibri"/>
                <w:b/>
                <w:bCs/>
                <w:color w:val="000000"/>
              </w:rPr>
              <w:t>Green</w:t>
            </w:r>
          </w:p>
        </w:tc>
        <w:tc>
          <w:tcPr>
            <w:tcW w:w="1042" w:type="dxa"/>
            <w:noWrap/>
            <w:hideMark/>
          </w:tcPr>
          <w:p w14:paraId="72D760F3" w14:textId="77777777" w:rsidR="00611874" w:rsidRPr="00611874" w:rsidRDefault="00611874" w:rsidP="00611874">
            <w:pPr>
              <w:spacing w:after="160" w:line="259" w:lineRule="auto"/>
              <w:rPr>
                <w:rFonts w:ascii="Calibri" w:hAnsi="Calibri" w:cs="Calibri"/>
                <w:b/>
                <w:bCs/>
                <w:color w:val="000000"/>
              </w:rPr>
            </w:pPr>
            <w:r w:rsidRPr="00611874">
              <w:rPr>
                <w:rFonts w:ascii="Calibri" w:hAnsi="Calibri" w:cs="Calibri"/>
                <w:b/>
                <w:bCs/>
                <w:color w:val="000000"/>
              </w:rPr>
              <w:t>Green %</w:t>
            </w:r>
          </w:p>
        </w:tc>
        <w:tc>
          <w:tcPr>
            <w:tcW w:w="836" w:type="dxa"/>
            <w:noWrap/>
            <w:hideMark/>
          </w:tcPr>
          <w:p w14:paraId="4BAF3473" w14:textId="77777777" w:rsidR="00611874" w:rsidRPr="00611874" w:rsidRDefault="00611874" w:rsidP="00611874">
            <w:pPr>
              <w:spacing w:after="160" w:line="259" w:lineRule="auto"/>
              <w:rPr>
                <w:rFonts w:ascii="Calibri" w:hAnsi="Calibri" w:cs="Calibri"/>
                <w:b/>
                <w:bCs/>
                <w:color w:val="000000"/>
              </w:rPr>
            </w:pPr>
            <w:r w:rsidRPr="00611874">
              <w:rPr>
                <w:rFonts w:ascii="Calibri" w:hAnsi="Calibri" w:cs="Calibri"/>
                <w:b/>
                <w:bCs/>
                <w:color w:val="000000"/>
              </w:rPr>
              <w:t>Amber</w:t>
            </w:r>
          </w:p>
        </w:tc>
        <w:tc>
          <w:tcPr>
            <w:tcW w:w="1148" w:type="dxa"/>
            <w:noWrap/>
            <w:hideMark/>
          </w:tcPr>
          <w:p w14:paraId="1B7C0874" w14:textId="77777777" w:rsidR="00611874" w:rsidRPr="00611874" w:rsidRDefault="00611874" w:rsidP="00611874">
            <w:pPr>
              <w:spacing w:after="160" w:line="259" w:lineRule="auto"/>
              <w:rPr>
                <w:rFonts w:ascii="Calibri" w:hAnsi="Calibri" w:cs="Calibri"/>
                <w:b/>
                <w:bCs/>
                <w:color w:val="000000"/>
              </w:rPr>
            </w:pPr>
            <w:r w:rsidRPr="00611874">
              <w:rPr>
                <w:rFonts w:ascii="Calibri" w:hAnsi="Calibri" w:cs="Calibri"/>
                <w:b/>
                <w:bCs/>
                <w:color w:val="000000"/>
              </w:rPr>
              <w:t>Amber %</w:t>
            </w:r>
          </w:p>
        </w:tc>
        <w:tc>
          <w:tcPr>
            <w:tcW w:w="566" w:type="dxa"/>
            <w:noWrap/>
            <w:hideMark/>
          </w:tcPr>
          <w:p w14:paraId="005D1A78" w14:textId="77777777" w:rsidR="00611874" w:rsidRPr="00611874" w:rsidRDefault="00611874" w:rsidP="00611874">
            <w:pPr>
              <w:spacing w:after="160" w:line="259" w:lineRule="auto"/>
              <w:rPr>
                <w:rFonts w:ascii="Calibri" w:hAnsi="Calibri" w:cs="Calibri"/>
                <w:b/>
                <w:bCs/>
                <w:color w:val="000000"/>
              </w:rPr>
            </w:pPr>
            <w:r w:rsidRPr="00611874">
              <w:rPr>
                <w:rFonts w:ascii="Calibri" w:hAnsi="Calibri" w:cs="Calibri"/>
                <w:b/>
                <w:bCs/>
                <w:color w:val="000000"/>
              </w:rPr>
              <w:t>Red</w:t>
            </w:r>
          </w:p>
        </w:tc>
        <w:tc>
          <w:tcPr>
            <w:tcW w:w="978" w:type="dxa"/>
            <w:noWrap/>
            <w:hideMark/>
          </w:tcPr>
          <w:p w14:paraId="0ECD1648" w14:textId="77777777" w:rsidR="00611874" w:rsidRPr="00611874" w:rsidRDefault="00611874" w:rsidP="00611874">
            <w:pPr>
              <w:spacing w:after="160" w:line="259" w:lineRule="auto"/>
              <w:rPr>
                <w:rFonts w:ascii="Calibri" w:hAnsi="Calibri" w:cs="Calibri"/>
                <w:b/>
                <w:bCs/>
                <w:color w:val="000000"/>
              </w:rPr>
            </w:pPr>
            <w:r w:rsidRPr="00611874">
              <w:rPr>
                <w:rFonts w:ascii="Calibri" w:hAnsi="Calibri" w:cs="Calibri"/>
                <w:b/>
                <w:bCs/>
                <w:color w:val="000000"/>
              </w:rPr>
              <w:t>Red %</w:t>
            </w:r>
          </w:p>
        </w:tc>
        <w:tc>
          <w:tcPr>
            <w:tcW w:w="803" w:type="dxa"/>
            <w:noWrap/>
            <w:hideMark/>
          </w:tcPr>
          <w:p w14:paraId="6CDC93D5" w14:textId="77777777" w:rsidR="00611874" w:rsidRPr="00611874" w:rsidRDefault="00611874" w:rsidP="00611874">
            <w:pPr>
              <w:spacing w:after="160" w:line="259" w:lineRule="auto"/>
              <w:rPr>
                <w:rFonts w:ascii="Calibri" w:hAnsi="Calibri" w:cs="Calibri"/>
                <w:b/>
                <w:bCs/>
                <w:color w:val="000000"/>
              </w:rPr>
            </w:pPr>
            <w:r w:rsidRPr="00611874">
              <w:rPr>
                <w:rFonts w:ascii="Calibri" w:hAnsi="Calibri" w:cs="Calibri"/>
                <w:b/>
                <w:bCs/>
                <w:color w:val="000000"/>
              </w:rPr>
              <w:t>Black</w:t>
            </w:r>
          </w:p>
        </w:tc>
        <w:tc>
          <w:tcPr>
            <w:tcW w:w="951" w:type="dxa"/>
            <w:noWrap/>
            <w:hideMark/>
          </w:tcPr>
          <w:p w14:paraId="65204C1E" w14:textId="77777777" w:rsidR="00611874" w:rsidRPr="00611874" w:rsidRDefault="00611874" w:rsidP="00611874">
            <w:pPr>
              <w:spacing w:after="160" w:line="259" w:lineRule="auto"/>
              <w:rPr>
                <w:rFonts w:ascii="Calibri" w:hAnsi="Calibri" w:cs="Calibri"/>
                <w:b/>
                <w:bCs/>
                <w:color w:val="000000"/>
              </w:rPr>
            </w:pPr>
            <w:r w:rsidRPr="00611874">
              <w:rPr>
                <w:rFonts w:ascii="Calibri" w:hAnsi="Calibri" w:cs="Calibri"/>
                <w:b/>
                <w:bCs/>
                <w:color w:val="000000"/>
              </w:rPr>
              <w:t>Black %</w:t>
            </w:r>
          </w:p>
        </w:tc>
        <w:tc>
          <w:tcPr>
            <w:tcW w:w="1522" w:type="dxa"/>
            <w:noWrap/>
            <w:hideMark/>
          </w:tcPr>
          <w:p w14:paraId="231502FA" w14:textId="77777777" w:rsidR="00611874" w:rsidRPr="00611874" w:rsidRDefault="00611874" w:rsidP="00611874">
            <w:pPr>
              <w:spacing w:after="160" w:line="259" w:lineRule="auto"/>
              <w:rPr>
                <w:rFonts w:ascii="Calibri" w:hAnsi="Calibri" w:cs="Calibri"/>
                <w:b/>
                <w:bCs/>
                <w:color w:val="000000"/>
              </w:rPr>
            </w:pPr>
            <w:r w:rsidRPr="00611874">
              <w:rPr>
                <w:rFonts w:ascii="Calibri" w:hAnsi="Calibri" w:cs="Calibri"/>
                <w:b/>
                <w:bCs/>
                <w:color w:val="000000"/>
              </w:rPr>
              <w:t>Total Responses</w:t>
            </w:r>
          </w:p>
        </w:tc>
      </w:tr>
      <w:tr w:rsidR="00611874" w:rsidRPr="00611874" w14:paraId="484FEF13" w14:textId="77777777" w:rsidTr="002B3D77">
        <w:trPr>
          <w:trHeight w:val="300"/>
        </w:trPr>
        <w:tc>
          <w:tcPr>
            <w:tcW w:w="1298" w:type="dxa"/>
            <w:noWrap/>
            <w:hideMark/>
          </w:tcPr>
          <w:p w14:paraId="7C3DD57E" w14:textId="77777777" w:rsidR="00611874" w:rsidRPr="00611874" w:rsidRDefault="00611874" w:rsidP="00611874">
            <w:pPr>
              <w:spacing w:after="160" w:line="259" w:lineRule="auto"/>
              <w:rPr>
                <w:rFonts w:ascii="Calibri" w:eastAsia="Calibri" w:hAnsi="Calibri"/>
                <w:b/>
                <w:bCs/>
              </w:rPr>
            </w:pPr>
            <w:r w:rsidRPr="00611874">
              <w:rPr>
                <w:rFonts w:ascii="Calibri" w:eastAsia="Calibri" w:hAnsi="Calibri"/>
                <w:b/>
                <w:bCs/>
              </w:rPr>
              <w:t>11/05/2026</w:t>
            </w:r>
          </w:p>
        </w:tc>
        <w:tc>
          <w:tcPr>
            <w:tcW w:w="774" w:type="dxa"/>
            <w:noWrap/>
            <w:hideMark/>
          </w:tcPr>
          <w:p w14:paraId="6B3431E4"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21</w:t>
            </w:r>
          </w:p>
        </w:tc>
        <w:tc>
          <w:tcPr>
            <w:tcW w:w="1042" w:type="dxa"/>
            <w:noWrap/>
            <w:hideMark/>
          </w:tcPr>
          <w:p w14:paraId="4C6AE00E"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21.65%</w:t>
            </w:r>
          </w:p>
        </w:tc>
        <w:tc>
          <w:tcPr>
            <w:tcW w:w="836" w:type="dxa"/>
            <w:noWrap/>
            <w:hideMark/>
          </w:tcPr>
          <w:p w14:paraId="3B22460A"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62</w:t>
            </w:r>
          </w:p>
        </w:tc>
        <w:tc>
          <w:tcPr>
            <w:tcW w:w="1148" w:type="dxa"/>
            <w:noWrap/>
            <w:hideMark/>
          </w:tcPr>
          <w:p w14:paraId="2CE5B604"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63.92%</w:t>
            </w:r>
          </w:p>
        </w:tc>
        <w:tc>
          <w:tcPr>
            <w:tcW w:w="566" w:type="dxa"/>
            <w:noWrap/>
            <w:hideMark/>
          </w:tcPr>
          <w:p w14:paraId="03847CC4"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11</w:t>
            </w:r>
          </w:p>
        </w:tc>
        <w:tc>
          <w:tcPr>
            <w:tcW w:w="978" w:type="dxa"/>
            <w:noWrap/>
            <w:hideMark/>
          </w:tcPr>
          <w:p w14:paraId="0CB31F5B"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11.34%</w:t>
            </w:r>
          </w:p>
        </w:tc>
        <w:tc>
          <w:tcPr>
            <w:tcW w:w="803" w:type="dxa"/>
            <w:noWrap/>
            <w:hideMark/>
          </w:tcPr>
          <w:p w14:paraId="4EC6A9B8"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3</w:t>
            </w:r>
          </w:p>
        </w:tc>
        <w:tc>
          <w:tcPr>
            <w:tcW w:w="951" w:type="dxa"/>
            <w:noWrap/>
            <w:hideMark/>
          </w:tcPr>
          <w:p w14:paraId="3669D282"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3.09%</w:t>
            </w:r>
          </w:p>
        </w:tc>
        <w:tc>
          <w:tcPr>
            <w:tcW w:w="1522" w:type="dxa"/>
            <w:noWrap/>
            <w:hideMark/>
          </w:tcPr>
          <w:p w14:paraId="14BD96D4"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97</w:t>
            </w:r>
          </w:p>
        </w:tc>
      </w:tr>
      <w:tr w:rsidR="00611874" w:rsidRPr="00611874" w14:paraId="10D9BB28" w14:textId="77777777" w:rsidTr="002B3D77">
        <w:trPr>
          <w:trHeight w:val="300"/>
        </w:trPr>
        <w:tc>
          <w:tcPr>
            <w:tcW w:w="1298" w:type="dxa"/>
            <w:noWrap/>
            <w:hideMark/>
          </w:tcPr>
          <w:p w14:paraId="3D937E40" w14:textId="77777777" w:rsidR="00611874" w:rsidRPr="00611874" w:rsidRDefault="00611874" w:rsidP="00611874">
            <w:pPr>
              <w:spacing w:after="160" w:line="259" w:lineRule="auto"/>
              <w:rPr>
                <w:rFonts w:ascii="Calibri" w:eastAsia="Calibri" w:hAnsi="Calibri"/>
                <w:b/>
                <w:bCs/>
              </w:rPr>
            </w:pPr>
            <w:r w:rsidRPr="00611874">
              <w:rPr>
                <w:rFonts w:ascii="Calibri" w:eastAsia="Calibri" w:hAnsi="Calibri"/>
                <w:b/>
                <w:bCs/>
              </w:rPr>
              <w:lastRenderedPageBreak/>
              <w:t>18/05/2026</w:t>
            </w:r>
          </w:p>
        </w:tc>
        <w:tc>
          <w:tcPr>
            <w:tcW w:w="774" w:type="dxa"/>
            <w:noWrap/>
            <w:hideMark/>
          </w:tcPr>
          <w:p w14:paraId="5E5F28A0"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16</w:t>
            </w:r>
          </w:p>
        </w:tc>
        <w:tc>
          <w:tcPr>
            <w:tcW w:w="1042" w:type="dxa"/>
            <w:noWrap/>
            <w:hideMark/>
          </w:tcPr>
          <w:p w14:paraId="03A677FE"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19.51%</w:t>
            </w:r>
          </w:p>
        </w:tc>
        <w:tc>
          <w:tcPr>
            <w:tcW w:w="836" w:type="dxa"/>
            <w:noWrap/>
            <w:hideMark/>
          </w:tcPr>
          <w:p w14:paraId="2455F409"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54</w:t>
            </w:r>
          </w:p>
        </w:tc>
        <w:tc>
          <w:tcPr>
            <w:tcW w:w="1148" w:type="dxa"/>
            <w:noWrap/>
            <w:hideMark/>
          </w:tcPr>
          <w:p w14:paraId="107FCFEB"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65.85%</w:t>
            </w:r>
          </w:p>
        </w:tc>
        <w:tc>
          <w:tcPr>
            <w:tcW w:w="566" w:type="dxa"/>
            <w:noWrap/>
            <w:hideMark/>
          </w:tcPr>
          <w:p w14:paraId="12582B43"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9</w:t>
            </w:r>
          </w:p>
        </w:tc>
        <w:tc>
          <w:tcPr>
            <w:tcW w:w="978" w:type="dxa"/>
            <w:noWrap/>
            <w:hideMark/>
          </w:tcPr>
          <w:p w14:paraId="5B80685A"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10.98%</w:t>
            </w:r>
          </w:p>
        </w:tc>
        <w:tc>
          <w:tcPr>
            <w:tcW w:w="803" w:type="dxa"/>
            <w:noWrap/>
            <w:hideMark/>
          </w:tcPr>
          <w:p w14:paraId="68303BAE"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3</w:t>
            </w:r>
          </w:p>
        </w:tc>
        <w:tc>
          <w:tcPr>
            <w:tcW w:w="951" w:type="dxa"/>
            <w:noWrap/>
            <w:hideMark/>
          </w:tcPr>
          <w:p w14:paraId="1D6E6D23"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3.66%</w:t>
            </w:r>
          </w:p>
        </w:tc>
        <w:tc>
          <w:tcPr>
            <w:tcW w:w="1522" w:type="dxa"/>
            <w:noWrap/>
            <w:hideMark/>
          </w:tcPr>
          <w:p w14:paraId="305D92E9"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82</w:t>
            </w:r>
          </w:p>
        </w:tc>
      </w:tr>
      <w:tr w:rsidR="00611874" w:rsidRPr="00611874" w14:paraId="6629A8AD" w14:textId="77777777" w:rsidTr="002B3D77">
        <w:trPr>
          <w:trHeight w:val="300"/>
        </w:trPr>
        <w:tc>
          <w:tcPr>
            <w:tcW w:w="1298" w:type="dxa"/>
            <w:noWrap/>
            <w:hideMark/>
          </w:tcPr>
          <w:p w14:paraId="0BED9E17" w14:textId="77777777" w:rsidR="00611874" w:rsidRPr="00611874" w:rsidRDefault="00611874" w:rsidP="00611874">
            <w:pPr>
              <w:spacing w:after="160" w:line="259" w:lineRule="auto"/>
              <w:rPr>
                <w:rFonts w:ascii="Calibri" w:eastAsia="Calibri" w:hAnsi="Calibri"/>
                <w:b/>
                <w:bCs/>
              </w:rPr>
            </w:pPr>
            <w:r w:rsidRPr="00611874">
              <w:rPr>
                <w:rFonts w:ascii="Calibri" w:eastAsia="Calibri" w:hAnsi="Calibri"/>
                <w:b/>
                <w:bCs/>
              </w:rPr>
              <w:t>25/05/2026</w:t>
            </w:r>
          </w:p>
        </w:tc>
        <w:tc>
          <w:tcPr>
            <w:tcW w:w="774" w:type="dxa"/>
            <w:noWrap/>
            <w:hideMark/>
          </w:tcPr>
          <w:p w14:paraId="35D68071"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23</w:t>
            </w:r>
          </w:p>
        </w:tc>
        <w:tc>
          <w:tcPr>
            <w:tcW w:w="1042" w:type="dxa"/>
            <w:noWrap/>
            <w:hideMark/>
          </w:tcPr>
          <w:p w14:paraId="010A4FB6"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25.84%</w:t>
            </w:r>
          </w:p>
        </w:tc>
        <w:tc>
          <w:tcPr>
            <w:tcW w:w="836" w:type="dxa"/>
            <w:noWrap/>
            <w:hideMark/>
          </w:tcPr>
          <w:p w14:paraId="03A0B8BC"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52</w:t>
            </w:r>
          </w:p>
        </w:tc>
        <w:tc>
          <w:tcPr>
            <w:tcW w:w="1148" w:type="dxa"/>
            <w:noWrap/>
            <w:hideMark/>
          </w:tcPr>
          <w:p w14:paraId="47DBBFF1"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58.43%</w:t>
            </w:r>
          </w:p>
        </w:tc>
        <w:tc>
          <w:tcPr>
            <w:tcW w:w="566" w:type="dxa"/>
            <w:noWrap/>
            <w:hideMark/>
          </w:tcPr>
          <w:p w14:paraId="545F5600"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13</w:t>
            </w:r>
          </w:p>
        </w:tc>
        <w:tc>
          <w:tcPr>
            <w:tcW w:w="978" w:type="dxa"/>
            <w:noWrap/>
            <w:hideMark/>
          </w:tcPr>
          <w:p w14:paraId="68732998"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14.61%</w:t>
            </w:r>
          </w:p>
        </w:tc>
        <w:tc>
          <w:tcPr>
            <w:tcW w:w="803" w:type="dxa"/>
            <w:noWrap/>
            <w:hideMark/>
          </w:tcPr>
          <w:p w14:paraId="250FA621"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w:t>
            </w:r>
          </w:p>
        </w:tc>
        <w:tc>
          <w:tcPr>
            <w:tcW w:w="951" w:type="dxa"/>
            <w:noWrap/>
            <w:hideMark/>
          </w:tcPr>
          <w:p w14:paraId="646507C5"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1.12%</w:t>
            </w:r>
          </w:p>
        </w:tc>
        <w:tc>
          <w:tcPr>
            <w:tcW w:w="1522" w:type="dxa"/>
            <w:noWrap/>
            <w:hideMark/>
          </w:tcPr>
          <w:p w14:paraId="12E7EADC"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89</w:t>
            </w:r>
          </w:p>
        </w:tc>
      </w:tr>
      <w:tr w:rsidR="00611874" w:rsidRPr="00611874" w14:paraId="2832E0B7" w14:textId="77777777" w:rsidTr="002B3D77">
        <w:trPr>
          <w:trHeight w:val="300"/>
        </w:trPr>
        <w:tc>
          <w:tcPr>
            <w:tcW w:w="1298" w:type="dxa"/>
            <w:noWrap/>
            <w:hideMark/>
          </w:tcPr>
          <w:p w14:paraId="6738DBDF" w14:textId="77777777" w:rsidR="00611874" w:rsidRPr="00611874" w:rsidRDefault="00611874" w:rsidP="00611874">
            <w:pPr>
              <w:spacing w:after="160" w:line="259" w:lineRule="auto"/>
              <w:rPr>
                <w:rFonts w:ascii="Calibri" w:eastAsia="Calibri" w:hAnsi="Calibri"/>
                <w:b/>
                <w:bCs/>
              </w:rPr>
            </w:pPr>
            <w:r w:rsidRPr="00611874">
              <w:rPr>
                <w:rFonts w:ascii="Calibri" w:eastAsia="Calibri" w:hAnsi="Calibri"/>
                <w:b/>
                <w:bCs/>
              </w:rPr>
              <w:t>01/06/2026</w:t>
            </w:r>
          </w:p>
        </w:tc>
        <w:tc>
          <w:tcPr>
            <w:tcW w:w="774" w:type="dxa"/>
            <w:noWrap/>
            <w:hideMark/>
          </w:tcPr>
          <w:p w14:paraId="0B57F0DA"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21</w:t>
            </w:r>
          </w:p>
        </w:tc>
        <w:tc>
          <w:tcPr>
            <w:tcW w:w="1042" w:type="dxa"/>
            <w:noWrap/>
            <w:hideMark/>
          </w:tcPr>
          <w:p w14:paraId="47BF91D1"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21.88%</w:t>
            </w:r>
          </w:p>
        </w:tc>
        <w:tc>
          <w:tcPr>
            <w:tcW w:w="836" w:type="dxa"/>
            <w:noWrap/>
            <w:hideMark/>
          </w:tcPr>
          <w:p w14:paraId="1B49E8BA"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55</w:t>
            </w:r>
          </w:p>
        </w:tc>
        <w:tc>
          <w:tcPr>
            <w:tcW w:w="1148" w:type="dxa"/>
            <w:noWrap/>
            <w:hideMark/>
          </w:tcPr>
          <w:p w14:paraId="7D71ED53"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57.29%</w:t>
            </w:r>
          </w:p>
        </w:tc>
        <w:tc>
          <w:tcPr>
            <w:tcW w:w="566" w:type="dxa"/>
            <w:noWrap/>
            <w:hideMark/>
          </w:tcPr>
          <w:p w14:paraId="16AA8D7B"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16</w:t>
            </w:r>
          </w:p>
        </w:tc>
        <w:tc>
          <w:tcPr>
            <w:tcW w:w="978" w:type="dxa"/>
            <w:noWrap/>
            <w:hideMark/>
          </w:tcPr>
          <w:p w14:paraId="280252C5"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16.67%</w:t>
            </w:r>
          </w:p>
        </w:tc>
        <w:tc>
          <w:tcPr>
            <w:tcW w:w="803" w:type="dxa"/>
            <w:noWrap/>
            <w:hideMark/>
          </w:tcPr>
          <w:p w14:paraId="7C2E140C"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4</w:t>
            </w:r>
          </w:p>
        </w:tc>
        <w:tc>
          <w:tcPr>
            <w:tcW w:w="951" w:type="dxa"/>
            <w:noWrap/>
            <w:hideMark/>
          </w:tcPr>
          <w:p w14:paraId="0EC41150"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4.17%</w:t>
            </w:r>
          </w:p>
        </w:tc>
        <w:tc>
          <w:tcPr>
            <w:tcW w:w="1522" w:type="dxa"/>
            <w:noWrap/>
            <w:hideMark/>
          </w:tcPr>
          <w:p w14:paraId="12D8F4C5"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96</w:t>
            </w:r>
          </w:p>
        </w:tc>
      </w:tr>
      <w:tr w:rsidR="00611874" w:rsidRPr="00611874" w14:paraId="417D975C" w14:textId="77777777" w:rsidTr="002B3D77">
        <w:trPr>
          <w:trHeight w:val="300"/>
        </w:trPr>
        <w:tc>
          <w:tcPr>
            <w:tcW w:w="1298" w:type="dxa"/>
            <w:noWrap/>
            <w:hideMark/>
          </w:tcPr>
          <w:p w14:paraId="42E39A55" w14:textId="77777777" w:rsidR="00611874" w:rsidRPr="00611874" w:rsidRDefault="00611874" w:rsidP="00611874">
            <w:pPr>
              <w:spacing w:after="160" w:line="259" w:lineRule="auto"/>
              <w:rPr>
                <w:rFonts w:ascii="Calibri" w:eastAsia="Calibri" w:hAnsi="Calibri"/>
                <w:b/>
                <w:bCs/>
              </w:rPr>
            </w:pPr>
            <w:r w:rsidRPr="00611874">
              <w:rPr>
                <w:rFonts w:ascii="Calibri" w:eastAsia="Calibri" w:hAnsi="Calibri"/>
                <w:b/>
                <w:bCs/>
              </w:rPr>
              <w:t>08/06/2026</w:t>
            </w:r>
          </w:p>
        </w:tc>
        <w:tc>
          <w:tcPr>
            <w:tcW w:w="774" w:type="dxa"/>
            <w:noWrap/>
            <w:hideMark/>
          </w:tcPr>
          <w:p w14:paraId="30A47E28"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18</w:t>
            </w:r>
          </w:p>
        </w:tc>
        <w:tc>
          <w:tcPr>
            <w:tcW w:w="1042" w:type="dxa"/>
            <w:noWrap/>
            <w:hideMark/>
          </w:tcPr>
          <w:p w14:paraId="31887EC0"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21.43%</w:t>
            </w:r>
          </w:p>
        </w:tc>
        <w:tc>
          <w:tcPr>
            <w:tcW w:w="836" w:type="dxa"/>
            <w:noWrap/>
            <w:hideMark/>
          </w:tcPr>
          <w:p w14:paraId="5C736AC2"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53</w:t>
            </w:r>
          </w:p>
        </w:tc>
        <w:tc>
          <w:tcPr>
            <w:tcW w:w="1148" w:type="dxa"/>
            <w:noWrap/>
            <w:hideMark/>
          </w:tcPr>
          <w:p w14:paraId="52D37A9A"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63.10%</w:t>
            </w:r>
          </w:p>
        </w:tc>
        <w:tc>
          <w:tcPr>
            <w:tcW w:w="566" w:type="dxa"/>
            <w:noWrap/>
            <w:hideMark/>
          </w:tcPr>
          <w:p w14:paraId="161355E4"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11</w:t>
            </w:r>
          </w:p>
        </w:tc>
        <w:tc>
          <w:tcPr>
            <w:tcW w:w="978" w:type="dxa"/>
            <w:noWrap/>
            <w:hideMark/>
          </w:tcPr>
          <w:p w14:paraId="7ED2CD89"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13.10%</w:t>
            </w:r>
          </w:p>
        </w:tc>
        <w:tc>
          <w:tcPr>
            <w:tcW w:w="803" w:type="dxa"/>
            <w:noWrap/>
            <w:hideMark/>
          </w:tcPr>
          <w:p w14:paraId="78240C6F"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2</w:t>
            </w:r>
          </w:p>
        </w:tc>
        <w:tc>
          <w:tcPr>
            <w:tcW w:w="951" w:type="dxa"/>
            <w:noWrap/>
            <w:hideMark/>
          </w:tcPr>
          <w:p w14:paraId="19FDEE58"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2.38%</w:t>
            </w:r>
          </w:p>
        </w:tc>
        <w:tc>
          <w:tcPr>
            <w:tcW w:w="1522" w:type="dxa"/>
            <w:noWrap/>
            <w:hideMark/>
          </w:tcPr>
          <w:p w14:paraId="3DAD6EB9" w14:textId="77777777" w:rsidR="00611874" w:rsidRPr="00611874" w:rsidRDefault="00611874" w:rsidP="00611874">
            <w:pPr>
              <w:spacing w:after="160" w:line="259" w:lineRule="auto"/>
              <w:rPr>
                <w:rFonts w:ascii="Calibri" w:eastAsia="Calibri" w:hAnsi="Calibri"/>
              </w:rPr>
            </w:pPr>
            <w:r w:rsidRPr="00611874">
              <w:rPr>
                <w:rFonts w:ascii="Calibri" w:eastAsia="Calibri" w:hAnsi="Calibri"/>
              </w:rPr>
              <w:t>84</w:t>
            </w:r>
          </w:p>
        </w:tc>
      </w:tr>
    </w:tbl>
    <w:p w14:paraId="0A246A55" w14:textId="77777777" w:rsidR="00611874" w:rsidRPr="00611874" w:rsidRDefault="00611874" w:rsidP="00611874">
      <w:pPr>
        <w:spacing w:after="160" w:line="259" w:lineRule="auto"/>
        <w:rPr>
          <w:rFonts w:ascii="Calibri" w:eastAsia="Calibri" w:hAnsi="Calibri" w:cs="Times New Roman"/>
          <w:kern w:val="2"/>
          <w14:ligatures w14:val="standardContextual"/>
        </w:rPr>
      </w:pPr>
    </w:p>
    <w:p w14:paraId="3210046A" w14:textId="77777777" w:rsidR="00611874" w:rsidRPr="00611874" w:rsidRDefault="00611874" w:rsidP="00611874">
      <w:pPr>
        <w:spacing w:after="160" w:line="259" w:lineRule="auto"/>
        <w:rPr>
          <w:rFonts w:ascii="Calibri" w:eastAsia="Calibri" w:hAnsi="Calibri" w:cs="Times New Roman"/>
          <w:kern w:val="2"/>
          <w14:ligatures w14:val="standardContextual"/>
        </w:rPr>
      </w:pPr>
      <w:r w:rsidRPr="00611874">
        <w:rPr>
          <w:rFonts w:ascii="Calibri" w:eastAsia="Calibri" w:hAnsi="Calibri" w:cs="Times New Roman"/>
          <w:noProof/>
          <w:kern w:val="2"/>
          <w14:ligatures w14:val="standardContextual"/>
        </w:rPr>
        <w:drawing>
          <wp:inline distT="0" distB="0" distL="0" distR="0" wp14:anchorId="282687EC" wp14:editId="693923B3">
            <wp:extent cx="5731510" cy="2636520"/>
            <wp:effectExtent l="0" t="0" r="2540" b="11430"/>
            <wp:docPr id="1" name="Chart 1">
              <a:extLst xmlns:a="http://schemas.openxmlformats.org/drawingml/2006/main">
                <a:ext uri="{FF2B5EF4-FFF2-40B4-BE49-F238E27FC236}">
                  <a16:creationId xmlns:a16="http://schemas.microsoft.com/office/drawing/2014/main" id="{B9569D65-8C98-582E-01AB-B17A75F193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B861F91" w14:textId="77777777" w:rsidR="00611874" w:rsidRPr="00611874" w:rsidRDefault="00611874" w:rsidP="00611874">
      <w:pPr>
        <w:spacing w:after="160" w:line="259" w:lineRule="auto"/>
        <w:rPr>
          <w:rFonts w:ascii="Calibri" w:eastAsia="Calibri" w:hAnsi="Calibri" w:cs="Times New Roman"/>
          <w:kern w:val="2"/>
          <w14:ligatures w14:val="standardContextual"/>
        </w:rPr>
      </w:pPr>
    </w:p>
    <w:p w14:paraId="5375B4F9" w14:textId="77777777" w:rsidR="00611874" w:rsidRPr="00611874" w:rsidRDefault="00611874" w:rsidP="00611874">
      <w:pPr>
        <w:spacing w:after="160" w:line="259" w:lineRule="auto"/>
        <w:rPr>
          <w:rFonts w:ascii="Calibri" w:eastAsia="Calibri" w:hAnsi="Calibri" w:cs="Times New Roman"/>
          <w:kern w:val="2"/>
          <w14:ligatures w14:val="standardContextual"/>
        </w:rPr>
      </w:pPr>
      <w:r w:rsidRPr="00611874">
        <w:rPr>
          <w:rFonts w:ascii="Calibri" w:eastAsia="Calibri" w:hAnsi="Calibri" w:cs="Times New Roman"/>
          <w:noProof/>
          <w:kern w:val="2"/>
          <w14:ligatures w14:val="standardContextual"/>
        </w:rPr>
        <w:drawing>
          <wp:inline distT="0" distB="0" distL="0" distR="0" wp14:anchorId="501B885B" wp14:editId="4B4AEE57">
            <wp:extent cx="5991225" cy="2200275"/>
            <wp:effectExtent l="0" t="0" r="9525" b="9525"/>
            <wp:docPr id="2" name="Chart 2">
              <a:extLst xmlns:a="http://schemas.openxmlformats.org/drawingml/2006/main">
                <a:ext uri="{FF2B5EF4-FFF2-40B4-BE49-F238E27FC236}">
                  <a16:creationId xmlns:a16="http://schemas.microsoft.com/office/drawing/2014/main" id="{728F2DFF-F2D9-7DFE-94EA-A75766AAFB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5572943" w14:textId="0AD57648" w:rsidR="00FF48AE" w:rsidRPr="002C3B65" w:rsidRDefault="00611874" w:rsidP="00611874">
      <w:pPr>
        <w:pStyle w:val="ListParagraph"/>
        <w:numPr>
          <w:ilvl w:val="0"/>
          <w:numId w:val="31"/>
        </w:numPr>
        <w:spacing w:line="259" w:lineRule="auto"/>
        <w:ind w:left="360"/>
        <w:rPr>
          <w:rFonts w:cstheme="minorHAnsi"/>
          <w:u w:val="single"/>
        </w:rPr>
      </w:pPr>
      <w:r>
        <w:rPr>
          <w:rFonts w:cstheme="minorHAnsi"/>
        </w:rPr>
        <w:t xml:space="preserve">The survey continues to show the challenges being faced in general practice. </w:t>
      </w:r>
      <w:r>
        <w:rPr>
          <w:rFonts w:cstheme="minorHAnsi"/>
        </w:rPr>
        <w:br/>
      </w:r>
    </w:p>
    <w:p w14:paraId="0BD6D82B" w14:textId="77777777" w:rsidR="00FF48AE" w:rsidRPr="002C3B65" w:rsidRDefault="00FF48AE" w:rsidP="00611874">
      <w:pPr>
        <w:pStyle w:val="ListParagraph"/>
        <w:numPr>
          <w:ilvl w:val="0"/>
          <w:numId w:val="32"/>
        </w:numPr>
        <w:spacing w:line="259" w:lineRule="auto"/>
        <w:ind w:left="360"/>
        <w:rPr>
          <w:rFonts w:cstheme="minorHAnsi"/>
          <w:u w:val="single"/>
        </w:rPr>
      </w:pPr>
      <w:r w:rsidRPr="002C3B65">
        <w:rPr>
          <w:rFonts w:cstheme="minorHAnsi"/>
          <w:u w:val="single"/>
        </w:rPr>
        <w:t>Secondary Care Prescription Requests</w:t>
      </w:r>
    </w:p>
    <w:bookmarkEnd w:id="13"/>
    <w:p w14:paraId="6FD11DA6" w14:textId="77777777" w:rsidR="004D5036" w:rsidRDefault="00611874" w:rsidP="00611874">
      <w:pPr>
        <w:pStyle w:val="ListParagraph"/>
        <w:numPr>
          <w:ilvl w:val="0"/>
          <w:numId w:val="31"/>
        </w:numPr>
        <w:spacing w:line="259" w:lineRule="auto"/>
        <w:ind w:left="360"/>
        <w:rPr>
          <w:rFonts w:cstheme="minorHAnsi"/>
        </w:rPr>
      </w:pPr>
      <w:r w:rsidRPr="00A300AD">
        <w:rPr>
          <w:rFonts w:cstheme="minorHAnsi"/>
        </w:rPr>
        <w:t>Following engagement with board colleagues</w:t>
      </w:r>
      <w:r w:rsidR="00237847">
        <w:rPr>
          <w:rFonts w:cstheme="minorHAnsi"/>
        </w:rPr>
        <w:t xml:space="preserve">, </w:t>
      </w:r>
      <w:r w:rsidR="00A300AD" w:rsidRPr="00A300AD">
        <w:rPr>
          <w:rFonts w:cstheme="minorHAnsi"/>
        </w:rPr>
        <w:t>it was agreed that communications to patients should state that prescriptions requested from GP practices may take up to five working days to be available for collection, in line with current policy.</w:t>
      </w:r>
    </w:p>
    <w:p w14:paraId="635D445B" w14:textId="77777777" w:rsidR="004D5036" w:rsidRDefault="00A300AD" w:rsidP="00611874">
      <w:pPr>
        <w:pStyle w:val="ListParagraph"/>
        <w:numPr>
          <w:ilvl w:val="0"/>
          <w:numId w:val="31"/>
        </w:numPr>
        <w:spacing w:line="259" w:lineRule="auto"/>
        <w:ind w:left="360"/>
        <w:rPr>
          <w:rFonts w:cstheme="minorHAnsi"/>
        </w:rPr>
      </w:pPr>
      <w:r w:rsidRPr="00A300AD">
        <w:rPr>
          <w:rFonts w:cstheme="minorHAnsi"/>
        </w:rPr>
        <w:t>CMHT prescribing requests are not included within this arrangement at this stage.</w:t>
      </w:r>
    </w:p>
    <w:p w14:paraId="54F2DCDD" w14:textId="446B4C5C" w:rsidR="00A42385" w:rsidRPr="00611874" w:rsidRDefault="00A42385" w:rsidP="00611874">
      <w:pPr>
        <w:pStyle w:val="ListParagraph"/>
        <w:numPr>
          <w:ilvl w:val="0"/>
          <w:numId w:val="31"/>
        </w:numPr>
        <w:spacing w:line="259" w:lineRule="auto"/>
        <w:ind w:left="360"/>
        <w:rPr>
          <w:rFonts w:cstheme="minorHAnsi"/>
        </w:rPr>
      </w:pPr>
      <w:r>
        <w:rPr>
          <w:rFonts w:cstheme="minorHAnsi"/>
        </w:rPr>
        <w:t xml:space="preserve">The board will continue to work </w:t>
      </w:r>
      <w:r w:rsidR="00A300AD" w:rsidRPr="00A300AD">
        <w:rPr>
          <w:rFonts w:cstheme="minorHAnsi"/>
        </w:rPr>
        <w:t>with relevant services</w:t>
      </w:r>
      <w:r w:rsidR="00A300AD">
        <w:rPr>
          <w:rFonts w:cstheme="minorHAnsi"/>
        </w:rPr>
        <w:t xml:space="preserve"> </w:t>
      </w:r>
      <w:r>
        <w:rPr>
          <w:rFonts w:cstheme="minorHAnsi"/>
        </w:rPr>
        <w:t>on this issue.</w:t>
      </w:r>
    </w:p>
    <w:p w14:paraId="10AC7BCC" w14:textId="77777777" w:rsidR="00611874" w:rsidRPr="00611874" w:rsidRDefault="00611874" w:rsidP="00FF48AE">
      <w:pPr>
        <w:spacing w:line="259" w:lineRule="auto"/>
        <w:rPr>
          <w:rFonts w:cstheme="minorHAnsi"/>
        </w:rPr>
      </w:pPr>
    </w:p>
    <w:p w14:paraId="5A54321F" w14:textId="77777777" w:rsidR="00FF48AE" w:rsidRDefault="00FF48AE" w:rsidP="00FF48AE">
      <w:pPr>
        <w:spacing w:line="259" w:lineRule="auto"/>
        <w:rPr>
          <w:rFonts w:cstheme="minorHAnsi"/>
          <w:b/>
          <w:bCs/>
        </w:rPr>
      </w:pPr>
      <w:r w:rsidRPr="00FF48AE">
        <w:rPr>
          <w:rFonts w:cstheme="minorHAnsi"/>
          <w:b/>
          <w:bCs/>
        </w:rPr>
        <w:t>Primary Care Transformation</w:t>
      </w:r>
    </w:p>
    <w:p w14:paraId="45EA91F8" w14:textId="42155A4F" w:rsidR="00A42385" w:rsidRPr="00FF48AE" w:rsidRDefault="00A42385" w:rsidP="00FF48AE">
      <w:pPr>
        <w:spacing w:line="259" w:lineRule="auto"/>
        <w:rPr>
          <w:rFonts w:cstheme="minorHAnsi"/>
        </w:rPr>
      </w:pPr>
      <w:r>
        <w:rPr>
          <w:rFonts w:cstheme="minorHAnsi"/>
          <w:b/>
          <w:bCs/>
        </w:rPr>
        <w:lastRenderedPageBreak/>
        <w:t>26/33</w:t>
      </w:r>
    </w:p>
    <w:p w14:paraId="6B13C20D" w14:textId="77777777" w:rsidR="00FF48AE" w:rsidRPr="00A42385" w:rsidRDefault="00FF48AE" w:rsidP="00A42385">
      <w:pPr>
        <w:pStyle w:val="ListParagraph"/>
        <w:numPr>
          <w:ilvl w:val="0"/>
          <w:numId w:val="33"/>
        </w:numPr>
        <w:spacing w:line="259" w:lineRule="auto"/>
        <w:ind w:left="360"/>
        <w:rPr>
          <w:rFonts w:cstheme="minorHAnsi"/>
          <w:b/>
          <w:bCs/>
          <w:u w:val="single"/>
        </w:rPr>
      </w:pPr>
      <w:r w:rsidRPr="00A42385">
        <w:rPr>
          <w:rFonts w:cstheme="minorHAnsi"/>
          <w:u w:val="single"/>
        </w:rPr>
        <w:t>PCPB Strategic Group, 21</w:t>
      </w:r>
      <w:r w:rsidRPr="00A42385">
        <w:rPr>
          <w:rFonts w:cstheme="minorHAnsi"/>
          <w:u w:val="single"/>
          <w:vertAlign w:val="superscript"/>
        </w:rPr>
        <w:t>st</w:t>
      </w:r>
      <w:r w:rsidRPr="00A42385">
        <w:rPr>
          <w:rFonts w:cstheme="minorHAnsi"/>
          <w:u w:val="single"/>
        </w:rPr>
        <w:t xml:space="preserve"> May 2026, Paper GPSub_13</w:t>
      </w:r>
    </w:p>
    <w:p w14:paraId="071DEE46" w14:textId="52ABE04D" w:rsidR="00A42385" w:rsidRPr="00A42385" w:rsidRDefault="00A42385" w:rsidP="00A42385">
      <w:pPr>
        <w:pStyle w:val="ListParagraph"/>
        <w:numPr>
          <w:ilvl w:val="6"/>
          <w:numId w:val="33"/>
        </w:numPr>
        <w:spacing w:line="259" w:lineRule="auto"/>
        <w:ind w:left="360"/>
        <w:rPr>
          <w:rFonts w:cstheme="minorHAnsi"/>
          <w:b/>
          <w:bCs/>
          <w:u w:val="single"/>
        </w:rPr>
      </w:pPr>
      <w:r>
        <w:rPr>
          <w:rFonts w:cstheme="minorHAnsi"/>
        </w:rPr>
        <w:t>The new primary care hub on the board’s website was highlighted.</w:t>
      </w:r>
    </w:p>
    <w:p w14:paraId="017C982D" w14:textId="77777777" w:rsidR="00A42385" w:rsidRPr="00A42385" w:rsidRDefault="00A42385" w:rsidP="00A42385">
      <w:pPr>
        <w:pStyle w:val="ListParagraph"/>
        <w:spacing w:line="259" w:lineRule="auto"/>
        <w:ind w:left="5040"/>
        <w:rPr>
          <w:rFonts w:cstheme="minorHAnsi"/>
          <w:b/>
          <w:bCs/>
          <w:u w:val="single"/>
        </w:rPr>
      </w:pPr>
    </w:p>
    <w:p w14:paraId="6FEF63B5" w14:textId="77777777" w:rsidR="00A42385" w:rsidRDefault="00FF48AE" w:rsidP="00A42385">
      <w:pPr>
        <w:pStyle w:val="ListParagraph"/>
        <w:numPr>
          <w:ilvl w:val="0"/>
          <w:numId w:val="33"/>
        </w:numPr>
        <w:spacing w:line="259" w:lineRule="auto"/>
        <w:ind w:left="360"/>
        <w:rPr>
          <w:rFonts w:cstheme="minorHAnsi"/>
          <w:u w:val="single"/>
        </w:rPr>
      </w:pPr>
      <w:r w:rsidRPr="00A42385">
        <w:rPr>
          <w:rFonts w:cstheme="minorHAnsi"/>
          <w:u w:val="single"/>
        </w:rPr>
        <w:t>Standardising Early and Late Presentation Management for DTA Administered Injectable Medications across NHSGGC Treatment Rooms, Paper GPSub_14</w:t>
      </w:r>
    </w:p>
    <w:p w14:paraId="7E70D00A" w14:textId="77777777" w:rsidR="004D5036" w:rsidRPr="004D5036" w:rsidRDefault="00A42385" w:rsidP="00A42385">
      <w:pPr>
        <w:pStyle w:val="ListParagraph"/>
        <w:numPr>
          <w:ilvl w:val="3"/>
          <w:numId w:val="33"/>
        </w:numPr>
        <w:spacing w:line="259" w:lineRule="auto"/>
        <w:ind w:left="360"/>
        <w:rPr>
          <w:rFonts w:cstheme="minorHAnsi"/>
          <w:u w:val="single"/>
        </w:rPr>
      </w:pPr>
      <w:r w:rsidRPr="00315EEB">
        <w:rPr>
          <w:rFonts w:cstheme="minorHAnsi"/>
        </w:rPr>
        <w:t xml:space="preserve">This document aims to standardise </w:t>
      </w:r>
      <w:r w:rsidR="00315EEB" w:rsidRPr="00315EEB">
        <w:rPr>
          <w:rFonts w:cstheme="minorHAnsi"/>
        </w:rPr>
        <w:t>processes across the six HSCPs for patients who attend early, late, or fail to attend for CTAC-administered injectable medication.</w:t>
      </w:r>
      <w:r w:rsidR="00315EEB">
        <w:rPr>
          <w:rFonts w:cstheme="minorHAnsi"/>
        </w:rPr>
        <w:t xml:space="preserve"> </w:t>
      </w:r>
    </w:p>
    <w:p w14:paraId="58821E7D" w14:textId="77777777" w:rsidR="004D5036" w:rsidRPr="004D5036" w:rsidRDefault="00315EEB" w:rsidP="00A42385">
      <w:pPr>
        <w:pStyle w:val="ListParagraph"/>
        <w:numPr>
          <w:ilvl w:val="3"/>
          <w:numId w:val="33"/>
        </w:numPr>
        <w:spacing w:line="259" w:lineRule="auto"/>
        <w:ind w:left="360"/>
        <w:rPr>
          <w:rFonts w:cstheme="minorHAnsi"/>
          <w:u w:val="single"/>
        </w:rPr>
      </w:pPr>
      <w:r w:rsidRPr="00315EEB">
        <w:rPr>
          <w:rFonts w:cstheme="minorHAnsi"/>
        </w:rPr>
        <w:t>The intention is to provide CTAC staff with greater operational flexibility and reduce unnecessary contact with GP practices.</w:t>
      </w:r>
    </w:p>
    <w:p w14:paraId="16A6B04B" w14:textId="77777777" w:rsidR="004D5036" w:rsidRPr="004D5036" w:rsidRDefault="00315EEB" w:rsidP="00A42385">
      <w:pPr>
        <w:pStyle w:val="ListParagraph"/>
        <w:numPr>
          <w:ilvl w:val="3"/>
          <w:numId w:val="33"/>
        </w:numPr>
        <w:spacing w:line="259" w:lineRule="auto"/>
        <w:ind w:left="360"/>
        <w:rPr>
          <w:rFonts w:cstheme="minorHAnsi"/>
          <w:u w:val="single"/>
        </w:rPr>
      </w:pPr>
      <w:r w:rsidRPr="00315EEB">
        <w:rPr>
          <w:rFonts w:cstheme="minorHAnsi"/>
        </w:rPr>
        <w:t>It was recognised that, in some cases, CTAC may still need to seek advice from the GP practice where the GP remains the prescriber</w:t>
      </w:r>
    </w:p>
    <w:p w14:paraId="68536E75" w14:textId="12D87FAC" w:rsidR="002B3D77" w:rsidRPr="00A42385" w:rsidRDefault="002B3D77" w:rsidP="00A42385">
      <w:pPr>
        <w:pStyle w:val="ListParagraph"/>
        <w:numPr>
          <w:ilvl w:val="3"/>
          <w:numId w:val="33"/>
        </w:numPr>
        <w:spacing w:line="259" w:lineRule="auto"/>
        <w:ind w:left="360"/>
        <w:rPr>
          <w:rFonts w:cstheme="minorHAnsi"/>
          <w:u w:val="single"/>
        </w:rPr>
      </w:pPr>
      <w:r>
        <w:rPr>
          <w:rFonts w:cstheme="minorHAnsi"/>
          <w:b/>
          <w:bCs/>
          <w:i/>
          <w:iCs/>
          <w:u w:val="single"/>
        </w:rPr>
        <w:t>Action Point: provide feedback</w:t>
      </w:r>
    </w:p>
    <w:p w14:paraId="0A1A41F5" w14:textId="77777777" w:rsidR="00FF48AE" w:rsidRPr="00FF48AE" w:rsidRDefault="00FF48AE" w:rsidP="00FF48AE">
      <w:pPr>
        <w:spacing w:line="259" w:lineRule="auto"/>
        <w:rPr>
          <w:rFonts w:cstheme="minorHAnsi"/>
        </w:rPr>
      </w:pPr>
    </w:p>
    <w:p w14:paraId="2C610C94" w14:textId="77777777" w:rsidR="00FF48AE" w:rsidRDefault="00FF48AE" w:rsidP="00FF48AE">
      <w:pPr>
        <w:spacing w:line="259" w:lineRule="auto"/>
        <w:rPr>
          <w:rFonts w:cstheme="minorHAnsi"/>
          <w:b/>
          <w:bCs/>
        </w:rPr>
      </w:pPr>
      <w:r w:rsidRPr="00FF48AE">
        <w:rPr>
          <w:rFonts w:cstheme="minorHAnsi"/>
          <w:b/>
          <w:bCs/>
        </w:rPr>
        <w:t>NHS GGC Way Forward-Transforming Together</w:t>
      </w:r>
    </w:p>
    <w:p w14:paraId="467BFC3B" w14:textId="45507A9C" w:rsidR="007D56B1" w:rsidRPr="00FF48AE" w:rsidRDefault="007D56B1" w:rsidP="00FF48AE">
      <w:pPr>
        <w:spacing w:line="259" w:lineRule="auto"/>
        <w:rPr>
          <w:rFonts w:cstheme="minorHAnsi"/>
          <w:b/>
          <w:bCs/>
        </w:rPr>
      </w:pPr>
      <w:r>
        <w:rPr>
          <w:rFonts w:cstheme="minorHAnsi"/>
          <w:b/>
          <w:bCs/>
        </w:rPr>
        <w:t>26/34</w:t>
      </w:r>
    </w:p>
    <w:p w14:paraId="222C4290" w14:textId="77777777" w:rsidR="00FF48AE" w:rsidRPr="007D56B1" w:rsidRDefault="00FF48AE" w:rsidP="007D56B1">
      <w:pPr>
        <w:pStyle w:val="ListParagraph"/>
        <w:numPr>
          <w:ilvl w:val="0"/>
          <w:numId w:val="35"/>
        </w:numPr>
        <w:spacing w:line="259" w:lineRule="auto"/>
        <w:ind w:left="360"/>
        <w:rPr>
          <w:rFonts w:cstheme="minorHAnsi"/>
          <w:b/>
          <w:bCs/>
          <w:u w:val="single"/>
        </w:rPr>
      </w:pPr>
      <w:r w:rsidRPr="007D56B1">
        <w:rPr>
          <w:rFonts w:cstheme="minorHAnsi"/>
          <w:u w:val="single"/>
        </w:rPr>
        <w:t>FNC Plus Pathways, Paper GP Sub_15</w:t>
      </w:r>
    </w:p>
    <w:p w14:paraId="1711DB1F" w14:textId="77777777" w:rsidR="006916DE" w:rsidRDefault="00355B7D" w:rsidP="006916DE">
      <w:pPr>
        <w:pStyle w:val="ListParagraph"/>
        <w:numPr>
          <w:ilvl w:val="0"/>
          <w:numId w:val="41"/>
        </w:numPr>
        <w:spacing w:line="259" w:lineRule="auto"/>
        <w:ind w:left="360"/>
        <w:rPr>
          <w:rFonts w:cstheme="minorHAnsi"/>
        </w:rPr>
      </w:pPr>
      <w:r w:rsidRPr="006916DE">
        <w:rPr>
          <w:rFonts w:cstheme="minorHAnsi"/>
        </w:rPr>
        <w:t>The board is keen to receive feedback from GPs on the FNC+</w:t>
      </w:r>
      <w:r w:rsidR="006916DE">
        <w:rPr>
          <w:rFonts w:cstheme="minorHAnsi"/>
        </w:rPr>
        <w:t>.</w:t>
      </w:r>
    </w:p>
    <w:p w14:paraId="2D081FD1" w14:textId="77777777" w:rsidR="004D5036" w:rsidRDefault="00315EEB" w:rsidP="006916DE">
      <w:pPr>
        <w:pStyle w:val="ListParagraph"/>
        <w:numPr>
          <w:ilvl w:val="0"/>
          <w:numId w:val="41"/>
        </w:numPr>
        <w:spacing w:line="259" w:lineRule="auto"/>
        <w:ind w:left="360"/>
        <w:rPr>
          <w:rFonts w:cstheme="minorHAnsi"/>
        </w:rPr>
      </w:pPr>
      <w:r w:rsidRPr="00315EEB">
        <w:rPr>
          <w:rFonts w:cstheme="minorHAnsi"/>
        </w:rPr>
        <w:t>Members raised concerns that FNC+ is not yet operating consistently on an 8am to 6pm basis.</w:t>
      </w:r>
    </w:p>
    <w:p w14:paraId="7F5A7ABB" w14:textId="77777777" w:rsidR="004D5036" w:rsidRDefault="00315EEB" w:rsidP="006916DE">
      <w:pPr>
        <w:pStyle w:val="ListParagraph"/>
        <w:numPr>
          <w:ilvl w:val="0"/>
          <w:numId w:val="41"/>
        </w:numPr>
        <w:spacing w:line="259" w:lineRule="auto"/>
        <w:ind w:left="360"/>
        <w:rPr>
          <w:rFonts w:cstheme="minorHAnsi"/>
        </w:rPr>
      </w:pPr>
      <w:r w:rsidRPr="00315EEB">
        <w:rPr>
          <w:rFonts w:cstheme="minorHAnsi"/>
        </w:rPr>
        <w:t>Members raised individual clinical cases. The Board asked members to submit details through the FNC+ feedback form to allow investigation and learning.</w:t>
      </w:r>
    </w:p>
    <w:p w14:paraId="17025C04" w14:textId="2BB950B8" w:rsidR="00FF48AE" w:rsidRPr="006916DE" w:rsidRDefault="00315EEB" w:rsidP="006916DE">
      <w:pPr>
        <w:pStyle w:val="ListParagraph"/>
        <w:numPr>
          <w:ilvl w:val="0"/>
          <w:numId w:val="41"/>
        </w:numPr>
        <w:spacing w:line="259" w:lineRule="auto"/>
        <w:ind w:left="360"/>
        <w:rPr>
          <w:rFonts w:cstheme="minorHAnsi"/>
        </w:rPr>
      </w:pPr>
      <w:r w:rsidRPr="00315EEB">
        <w:rPr>
          <w:rFonts w:cstheme="minorHAnsi"/>
        </w:rPr>
        <w:t>The Committee emphasised that, once a patient has been accepted by the Virtual Hospital, responsibility for the patient’s care should sit clearly with the Virtual Hospital team, with GP involvement only where clinically appropriate and clearly agreed.</w:t>
      </w:r>
      <w:r w:rsidR="006916DE" w:rsidRPr="006916DE">
        <w:rPr>
          <w:rFonts w:cstheme="minorHAnsi"/>
        </w:rPr>
        <w:br/>
      </w:r>
    </w:p>
    <w:p w14:paraId="3EFAA4B2" w14:textId="49E20847" w:rsidR="007D56B1" w:rsidRDefault="00FF48AE" w:rsidP="00FF48AE">
      <w:pPr>
        <w:spacing w:line="259" w:lineRule="auto"/>
        <w:rPr>
          <w:rFonts w:cstheme="minorHAnsi"/>
          <w:b/>
          <w:bCs/>
        </w:rPr>
      </w:pPr>
      <w:r w:rsidRPr="00FF48AE">
        <w:rPr>
          <w:rFonts w:cstheme="minorHAnsi"/>
          <w:b/>
          <w:bCs/>
        </w:rPr>
        <w:t>GP IT Clinical systems- EMIS to Vision migration</w:t>
      </w:r>
      <w:r w:rsidR="007D56B1">
        <w:rPr>
          <w:rFonts w:cstheme="minorHAnsi"/>
          <w:b/>
          <w:bCs/>
        </w:rPr>
        <w:br/>
        <w:t>26/35</w:t>
      </w:r>
    </w:p>
    <w:p w14:paraId="77883B5F" w14:textId="29C8B756" w:rsidR="002D1451" w:rsidRPr="002D1451" w:rsidRDefault="002D1451" w:rsidP="007D56B1">
      <w:pPr>
        <w:pStyle w:val="ListParagraph"/>
        <w:numPr>
          <w:ilvl w:val="0"/>
          <w:numId w:val="36"/>
        </w:numPr>
        <w:spacing w:line="259" w:lineRule="auto"/>
        <w:ind w:left="360"/>
        <w:rPr>
          <w:rFonts w:cstheme="minorHAnsi"/>
          <w:b/>
          <w:bCs/>
        </w:rPr>
      </w:pPr>
      <w:r>
        <w:rPr>
          <w:rFonts w:cstheme="minorHAnsi"/>
        </w:rPr>
        <w:t xml:space="preserve">Work is ongoing to ensure that practices have the </w:t>
      </w:r>
      <w:r w:rsidR="00315EEB">
        <w:rPr>
          <w:rFonts w:cstheme="minorHAnsi"/>
        </w:rPr>
        <w:t xml:space="preserve">appropriate </w:t>
      </w:r>
      <w:r>
        <w:rPr>
          <w:rFonts w:cstheme="minorHAnsi"/>
        </w:rPr>
        <w:t xml:space="preserve">training and are properly supported pre, during and post migration. </w:t>
      </w:r>
    </w:p>
    <w:p w14:paraId="6057E41E" w14:textId="77777777" w:rsidR="004D5036" w:rsidRPr="004D5036" w:rsidRDefault="00315EEB" w:rsidP="007D56B1">
      <w:pPr>
        <w:pStyle w:val="ListParagraph"/>
        <w:numPr>
          <w:ilvl w:val="0"/>
          <w:numId w:val="36"/>
        </w:numPr>
        <w:spacing w:line="259" w:lineRule="auto"/>
        <w:ind w:left="360"/>
        <w:rPr>
          <w:rFonts w:cstheme="minorHAnsi"/>
          <w:b/>
          <w:bCs/>
        </w:rPr>
      </w:pPr>
      <w:r w:rsidRPr="00315EEB">
        <w:rPr>
          <w:rFonts w:cstheme="minorHAnsi"/>
        </w:rPr>
        <w:t>Work is continuing on the formulary management tool.</w:t>
      </w:r>
    </w:p>
    <w:p w14:paraId="2A68A2FA" w14:textId="77777777" w:rsidR="004D5036" w:rsidRPr="004D5036" w:rsidRDefault="00315EEB" w:rsidP="007D56B1">
      <w:pPr>
        <w:pStyle w:val="ListParagraph"/>
        <w:numPr>
          <w:ilvl w:val="0"/>
          <w:numId w:val="36"/>
        </w:numPr>
        <w:spacing w:line="259" w:lineRule="auto"/>
        <w:ind w:left="360"/>
        <w:rPr>
          <w:rFonts w:cstheme="minorHAnsi"/>
          <w:b/>
          <w:bCs/>
        </w:rPr>
      </w:pPr>
      <w:r w:rsidRPr="00315EEB">
        <w:rPr>
          <w:rFonts w:cstheme="minorHAnsi"/>
        </w:rPr>
        <w:t>The Committee noted the importance of GPs and practice managers continuing to provide detailed feedback to the LMC office on the migration process and its operational impact.</w:t>
      </w:r>
    </w:p>
    <w:p w14:paraId="3BE4A2AA" w14:textId="26D73DBF" w:rsidR="002D1451" w:rsidRPr="002D1451" w:rsidRDefault="002D1451" w:rsidP="007D56B1">
      <w:pPr>
        <w:pStyle w:val="ListParagraph"/>
        <w:numPr>
          <w:ilvl w:val="0"/>
          <w:numId w:val="36"/>
        </w:numPr>
        <w:spacing w:line="259" w:lineRule="auto"/>
        <w:ind w:left="360"/>
        <w:rPr>
          <w:rFonts w:cstheme="minorHAnsi"/>
          <w:b/>
          <w:bCs/>
        </w:rPr>
      </w:pPr>
      <w:r>
        <w:rPr>
          <w:rFonts w:cstheme="minorHAnsi"/>
        </w:rPr>
        <w:t>The health board has highlighted to PSD</w:t>
      </w:r>
      <w:r w:rsidR="00594B0A">
        <w:rPr>
          <w:rFonts w:cstheme="minorHAnsi"/>
        </w:rPr>
        <w:t xml:space="preserve"> </w:t>
      </w:r>
      <w:r>
        <w:rPr>
          <w:rFonts w:cstheme="minorHAnsi"/>
        </w:rPr>
        <w:t>S</w:t>
      </w:r>
      <w:r w:rsidR="00594B0A">
        <w:rPr>
          <w:rFonts w:cstheme="minorHAnsi"/>
        </w:rPr>
        <w:t>cotland</w:t>
      </w:r>
      <w:r>
        <w:rPr>
          <w:rFonts w:cstheme="minorHAnsi"/>
        </w:rPr>
        <w:t xml:space="preserve"> the challenges associated with the end point of the EMIS contract with regard to the challenges being faced by practices migrating to Vision.</w:t>
      </w:r>
    </w:p>
    <w:p w14:paraId="5090C6CA" w14:textId="524B04D7" w:rsidR="00FF48AE" w:rsidRPr="007D56B1" w:rsidRDefault="002D1451" w:rsidP="007D56B1">
      <w:pPr>
        <w:pStyle w:val="ListParagraph"/>
        <w:numPr>
          <w:ilvl w:val="0"/>
          <w:numId w:val="36"/>
        </w:numPr>
        <w:spacing w:line="259" w:lineRule="auto"/>
        <w:ind w:left="360"/>
        <w:rPr>
          <w:rFonts w:cstheme="minorHAnsi"/>
          <w:b/>
          <w:bCs/>
        </w:rPr>
      </w:pPr>
      <w:r>
        <w:rPr>
          <w:rFonts w:cstheme="minorHAnsi"/>
        </w:rPr>
        <w:t>Alistair Graham has started as the board’s new Digital Director.</w:t>
      </w:r>
      <w:r w:rsidR="00FF48AE" w:rsidRPr="007D56B1">
        <w:rPr>
          <w:rFonts w:cstheme="minorHAnsi"/>
          <w:b/>
          <w:bCs/>
        </w:rPr>
        <w:br/>
      </w:r>
    </w:p>
    <w:p w14:paraId="5D271C35" w14:textId="23058E6A" w:rsidR="00FF48AE" w:rsidRDefault="00FF48AE" w:rsidP="00FF48AE">
      <w:pPr>
        <w:spacing w:line="259" w:lineRule="auto"/>
        <w:rPr>
          <w:rFonts w:cstheme="minorHAnsi"/>
        </w:rPr>
      </w:pPr>
      <w:r w:rsidRPr="00FF48AE">
        <w:rPr>
          <w:rFonts w:cstheme="minorHAnsi"/>
          <w:b/>
          <w:bCs/>
        </w:rPr>
        <w:t xml:space="preserve">Notes and Reports from Meetings, </w:t>
      </w:r>
      <w:r w:rsidRPr="00FF48AE">
        <w:rPr>
          <w:rFonts w:cstheme="minorHAnsi"/>
        </w:rPr>
        <w:t>Paper GPSub_16</w:t>
      </w:r>
    </w:p>
    <w:p w14:paraId="32F7637A" w14:textId="0691CD17" w:rsidR="004D5036" w:rsidRPr="004D5036" w:rsidRDefault="004D5036" w:rsidP="00FF48AE">
      <w:pPr>
        <w:spacing w:line="259" w:lineRule="auto"/>
        <w:rPr>
          <w:rFonts w:cstheme="minorHAnsi"/>
          <w:b/>
          <w:bCs/>
        </w:rPr>
      </w:pPr>
      <w:r>
        <w:rPr>
          <w:rFonts w:cstheme="minorHAnsi"/>
          <w:b/>
          <w:bCs/>
        </w:rPr>
        <w:t>26/36</w:t>
      </w:r>
    </w:p>
    <w:tbl>
      <w:tblPr>
        <w:tblStyle w:val="TableGrid"/>
        <w:tblW w:w="7088" w:type="dxa"/>
        <w:tblLook w:val="04A0" w:firstRow="1" w:lastRow="0" w:firstColumn="1" w:lastColumn="0" w:noHBand="0" w:noVBand="1"/>
      </w:tblPr>
      <w:tblGrid>
        <w:gridCol w:w="965"/>
        <w:gridCol w:w="3999"/>
        <w:gridCol w:w="2124"/>
      </w:tblGrid>
      <w:tr w:rsidR="004D5036" w:rsidRPr="00FF48AE" w14:paraId="6B55D944" w14:textId="77777777" w:rsidTr="004D5036">
        <w:trPr>
          <w:trHeight w:val="465"/>
        </w:trPr>
        <w:tc>
          <w:tcPr>
            <w:tcW w:w="965" w:type="dxa"/>
          </w:tcPr>
          <w:p w14:paraId="3704F409" w14:textId="77777777" w:rsidR="004D5036" w:rsidRPr="00FF48AE" w:rsidRDefault="004D5036" w:rsidP="004D5036">
            <w:pPr>
              <w:spacing w:line="259" w:lineRule="auto"/>
              <w:rPr>
                <w:rFonts w:cstheme="minorHAnsi"/>
                <w:b/>
                <w:u w:val="single"/>
              </w:rPr>
            </w:pPr>
            <w:bookmarkStart w:id="14" w:name="_Hlk138925530"/>
            <w:bookmarkStart w:id="15" w:name="_Hlk170290105"/>
            <w:r w:rsidRPr="00FF48AE">
              <w:rPr>
                <w:rFonts w:cstheme="minorHAnsi"/>
                <w:b/>
              </w:rPr>
              <w:t>Report Number</w:t>
            </w:r>
          </w:p>
        </w:tc>
        <w:tc>
          <w:tcPr>
            <w:tcW w:w="3999" w:type="dxa"/>
          </w:tcPr>
          <w:p w14:paraId="5412C2F4" w14:textId="77777777" w:rsidR="004D5036" w:rsidRPr="00FF48AE" w:rsidRDefault="004D5036" w:rsidP="004D5036">
            <w:pPr>
              <w:spacing w:line="259" w:lineRule="auto"/>
              <w:rPr>
                <w:rFonts w:cstheme="minorHAnsi"/>
                <w:b/>
                <w:u w:val="single"/>
              </w:rPr>
            </w:pPr>
            <w:r w:rsidRPr="00FF48AE">
              <w:rPr>
                <w:rFonts w:cstheme="minorHAnsi"/>
                <w:b/>
              </w:rPr>
              <w:t>Group</w:t>
            </w:r>
          </w:p>
        </w:tc>
        <w:tc>
          <w:tcPr>
            <w:tcW w:w="2124" w:type="dxa"/>
          </w:tcPr>
          <w:p w14:paraId="6ECDE1A1" w14:textId="77777777" w:rsidR="004D5036" w:rsidRPr="00FF48AE" w:rsidRDefault="004D5036" w:rsidP="004D5036">
            <w:pPr>
              <w:spacing w:line="259" w:lineRule="auto"/>
              <w:rPr>
                <w:rFonts w:cstheme="minorHAnsi"/>
                <w:b/>
                <w:u w:val="single"/>
              </w:rPr>
            </w:pPr>
            <w:r w:rsidRPr="00FF48AE">
              <w:rPr>
                <w:rFonts w:cstheme="minorHAnsi"/>
                <w:b/>
              </w:rPr>
              <w:t>Date of Meeting</w:t>
            </w:r>
          </w:p>
        </w:tc>
      </w:tr>
      <w:tr w:rsidR="004D5036" w:rsidRPr="00FF48AE" w14:paraId="5B754A78" w14:textId="77777777" w:rsidTr="004D5036">
        <w:trPr>
          <w:trHeight w:val="155"/>
        </w:trPr>
        <w:tc>
          <w:tcPr>
            <w:tcW w:w="965" w:type="dxa"/>
          </w:tcPr>
          <w:p w14:paraId="577D089A" w14:textId="77777777" w:rsidR="004D5036" w:rsidRPr="00FF48AE" w:rsidRDefault="004D5036" w:rsidP="004D5036">
            <w:pPr>
              <w:spacing w:line="259" w:lineRule="auto"/>
              <w:rPr>
                <w:rFonts w:cstheme="minorHAnsi"/>
                <w:bCs/>
              </w:rPr>
            </w:pPr>
            <w:r w:rsidRPr="00FF48AE">
              <w:rPr>
                <w:rFonts w:cstheme="minorHAnsi"/>
                <w:bCs/>
              </w:rPr>
              <w:t>1</w:t>
            </w:r>
          </w:p>
        </w:tc>
        <w:tc>
          <w:tcPr>
            <w:tcW w:w="3999" w:type="dxa"/>
          </w:tcPr>
          <w:p w14:paraId="72BFE25F" w14:textId="77777777" w:rsidR="004D5036" w:rsidRPr="00FF48AE" w:rsidRDefault="004D5036" w:rsidP="004D5036">
            <w:pPr>
              <w:spacing w:line="259" w:lineRule="auto"/>
              <w:rPr>
                <w:rFonts w:cstheme="minorHAnsi"/>
                <w:bCs/>
              </w:rPr>
            </w:pPr>
            <w:r w:rsidRPr="00FF48AE">
              <w:rPr>
                <w:rFonts w:cstheme="minorHAnsi"/>
                <w:bCs/>
              </w:rPr>
              <w:t>GMS eHealth Steering Group</w:t>
            </w:r>
          </w:p>
        </w:tc>
        <w:tc>
          <w:tcPr>
            <w:tcW w:w="2124" w:type="dxa"/>
          </w:tcPr>
          <w:p w14:paraId="465C3BF7" w14:textId="77777777" w:rsidR="004D5036" w:rsidRPr="00FF48AE" w:rsidRDefault="004D5036" w:rsidP="004D5036">
            <w:pPr>
              <w:spacing w:line="259" w:lineRule="auto"/>
              <w:rPr>
                <w:rFonts w:cstheme="minorHAnsi"/>
                <w:bCs/>
              </w:rPr>
            </w:pPr>
            <w:r w:rsidRPr="00FF48AE">
              <w:rPr>
                <w:rFonts w:cstheme="minorHAnsi"/>
                <w:bCs/>
              </w:rPr>
              <w:t>30</w:t>
            </w:r>
            <w:r w:rsidRPr="00FF48AE">
              <w:rPr>
                <w:rFonts w:cstheme="minorHAnsi"/>
                <w:bCs/>
                <w:vertAlign w:val="superscript"/>
              </w:rPr>
              <w:t>th</w:t>
            </w:r>
            <w:r w:rsidRPr="00FF48AE">
              <w:rPr>
                <w:rFonts w:cstheme="minorHAnsi"/>
                <w:bCs/>
              </w:rPr>
              <w:t xml:space="preserve"> April 2026</w:t>
            </w:r>
          </w:p>
        </w:tc>
      </w:tr>
      <w:bookmarkEnd w:id="14"/>
      <w:tr w:rsidR="004D5036" w:rsidRPr="00FF48AE" w14:paraId="4E8F0190" w14:textId="77777777" w:rsidTr="004D5036">
        <w:trPr>
          <w:trHeight w:val="238"/>
        </w:trPr>
        <w:tc>
          <w:tcPr>
            <w:tcW w:w="965" w:type="dxa"/>
          </w:tcPr>
          <w:p w14:paraId="3DB6D255" w14:textId="77777777" w:rsidR="004D5036" w:rsidRPr="00FF48AE" w:rsidRDefault="004D5036" w:rsidP="004D5036">
            <w:pPr>
              <w:spacing w:line="259" w:lineRule="auto"/>
              <w:rPr>
                <w:rFonts w:cstheme="minorHAnsi"/>
                <w:bCs/>
              </w:rPr>
            </w:pPr>
            <w:r w:rsidRPr="00FF48AE">
              <w:rPr>
                <w:rFonts w:cstheme="minorHAnsi"/>
                <w:bCs/>
              </w:rPr>
              <w:t>2</w:t>
            </w:r>
          </w:p>
        </w:tc>
        <w:tc>
          <w:tcPr>
            <w:tcW w:w="3999" w:type="dxa"/>
          </w:tcPr>
          <w:p w14:paraId="29AFE092" w14:textId="77777777" w:rsidR="004D5036" w:rsidRPr="00FF48AE" w:rsidRDefault="004D5036" w:rsidP="004D5036">
            <w:pPr>
              <w:spacing w:line="259" w:lineRule="auto"/>
              <w:rPr>
                <w:rFonts w:cstheme="minorHAnsi"/>
                <w:bCs/>
              </w:rPr>
            </w:pPr>
            <w:r w:rsidRPr="00FF48AE">
              <w:rPr>
                <w:rFonts w:cstheme="minorHAnsi"/>
                <w:bCs/>
              </w:rPr>
              <w:t>Heart MCN</w:t>
            </w:r>
          </w:p>
        </w:tc>
        <w:tc>
          <w:tcPr>
            <w:tcW w:w="2124" w:type="dxa"/>
          </w:tcPr>
          <w:p w14:paraId="5B4704C6" w14:textId="77777777" w:rsidR="004D5036" w:rsidRPr="00FF48AE" w:rsidRDefault="004D5036" w:rsidP="004D5036">
            <w:pPr>
              <w:spacing w:line="259" w:lineRule="auto"/>
              <w:rPr>
                <w:rFonts w:cstheme="minorHAnsi"/>
                <w:bCs/>
              </w:rPr>
            </w:pPr>
            <w:r w:rsidRPr="00FF48AE">
              <w:rPr>
                <w:rFonts w:cstheme="minorHAnsi"/>
                <w:bCs/>
              </w:rPr>
              <w:t>1</w:t>
            </w:r>
            <w:r w:rsidRPr="00FF48AE">
              <w:rPr>
                <w:rFonts w:cstheme="minorHAnsi"/>
                <w:bCs/>
                <w:vertAlign w:val="superscript"/>
              </w:rPr>
              <w:t>st</w:t>
            </w:r>
            <w:r w:rsidRPr="00FF48AE">
              <w:rPr>
                <w:rFonts w:cstheme="minorHAnsi"/>
                <w:bCs/>
              </w:rPr>
              <w:t xml:space="preserve"> May 2026</w:t>
            </w:r>
          </w:p>
        </w:tc>
      </w:tr>
      <w:tr w:rsidR="004D5036" w:rsidRPr="00FF48AE" w14:paraId="0E03F9E9" w14:textId="77777777" w:rsidTr="004D5036">
        <w:trPr>
          <w:trHeight w:val="265"/>
        </w:trPr>
        <w:tc>
          <w:tcPr>
            <w:tcW w:w="965" w:type="dxa"/>
          </w:tcPr>
          <w:p w14:paraId="5F3BBEC9" w14:textId="77777777" w:rsidR="004D5036" w:rsidRPr="00FF48AE" w:rsidRDefault="004D5036" w:rsidP="004D5036">
            <w:pPr>
              <w:spacing w:line="259" w:lineRule="auto"/>
              <w:rPr>
                <w:rFonts w:cstheme="minorHAnsi"/>
                <w:bCs/>
              </w:rPr>
            </w:pPr>
            <w:r w:rsidRPr="00FF48AE">
              <w:rPr>
                <w:rFonts w:cstheme="minorHAnsi"/>
                <w:bCs/>
              </w:rPr>
              <w:t>3</w:t>
            </w:r>
          </w:p>
        </w:tc>
        <w:tc>
          <w:tcPr>
            <w:tcW w:w="3999" w:type="dxa"/>
          </w:tcPr>
          <w:p w14:paraId="12131E2F" w14:textId="77777777" w:rsidR="004D5036" w:rsidRPr="00FF48AE" w:rsidRDefault="004D5036" w:rsidP="004D5036">
            <w:pPr>
              <w:spacing w:line="259" w:lineRule="auto"/>
              <w:rPr>
                <w:rFonts w:cstheme="minorHAnsi"/>
                <w:bCs/>
              </w:rPr>
            </w:pPr>
            <w:r w:rsidRPr="00FF48AE">
              <w:rPr>
                <w:rFonts w:cstheme="minorHAnsi"/>
              </w:rPr>
              <w:t>Demand Optimisation of ESR testing</w:t>
            </w:r>
          </w:p>
        </w:tc>
        <w:tc>
          <w:tcPr>
            <w:tcW w:w="2124" w:type="dxa"/>
          </w:tcPr>
          <w:p w14:paraId="0279998A" w14:textId="77777777" w:rsidR="004D5036" w:rsidRPr="00FF48AE" w:rsidRDefault="004D5036" w:rsidP="004D5036">
            <w:pPr>
              <w:spacing w:line="259" w:lineRule="auto"/>
              <w:rPr>
                <w:rFonts w:cstheme="minorHAnsi"/>
                <w:bCs/>
              </w:rPr>
            </w:pPr>
            <w:r w:rsidRPr="00FF48AE">
              <w:rPr>
                <w:rFonts w:cstheme="minorHAnsi"/>
                <w:bCs/>
              </w:rPr>
              <w:t>6</w:t>
            </w:r>
            <w:r w:rsidRPr="00FF48AE">
              <w:rPr>
                <w:rFonts w:cstheme="minorHAnsi"/>
                <w:bCs/>
                <w:vertAlign w:val="superscript"/>
              </w:rPr>
              <w:t>th</w:t>
            </w:r>
            <w:r w:rsidRPr="00FF48AE">
              <w:rPr>
                <w:rFonts w:cstheme="minorHAnsi"/>
                <w:bCs/>
              </w:rPr>
              <w:t xml:space="preserve"> May 2026</w:t>
            </w:r>
          </w:p>
        </w:tc>
      </w:tr>
      <w:tr w:rsidR="004D5036" w:rsidRPr="00FF48AE" w14:paraId="4D5F68BA" w14:textId="77777777" w:rsidTr="004D5036">
        <w:trPr>
          <w:trHeight w:val="265"/>
        </w:trPr>
        <w:tc>
          <w:tcPr>
            <w:tcW w:w="965" w:type="dxa"/>
          </w:tcPr>
          <w:p w14:paraId="49970AA8" w14:textId="77777777" w:rsidR="004D5036" w:rsidRPr="00FF48AE" w:rsidRDefault="004D5036" w:rsidP="004D5036">
            <w:pPr>
              <w:spacing w:line="259" w:lineRule="auto"/>
              <w:rPr>
                <w:rFonts w:cstheme="minorHAnsi"/>
                <w:bCs/>
              </w:rPr>
            </w:pPr>
            <w:r w:rsidRPr="00FF48AE">
              <w:rPr>
                <w:rFonts w:cstheme="minorHAnsi"/>
                <w:bCs/>
              </w:rPr>
              <w:t>4</w:t>
            </w:r>
          </w:p>
        </w:tc>
        <w:tc>
          <w:tcPr>
            <w:tcW w:w="3999" w:type="dxa"/>
          </w:tcPr>
          <w:p w14:paraId="4280A38D" w14:textId="77777777" w:rsidR="004D5036" w:rsidRPr="00FF48AE" w:rsidRDefault="004D5036" w:rsidP="004D5036">
            <w:pPr>
              <w:spacing w:line="259" w:lineRule="auto"/>
              <w:rPr>
                <w:rFonts w:cstheme="minorHAnsi"/>
                <w:bCs/>
              </w:rPr>
            </w:pPr>
            <w:r w:rsidRPr="00FF48AE">
              <w:rPr>
                <w:rFonts w:cstheme="minorHAnsi"/>
              </w:rPr>
              <w:t>Primary Care Strategy Accommodation</w:t>
            </w:r>
          </w:p>
        </w:tc>
        <w:tc>
          <w:tcPr>
            <w:tcW w:w="2124" w:type="dxa"/>
          </w:tcPr>
          <w:p w14:paraId="5C0F2DDD" w14:textId="77777777" w:rsidR="004D5036" w:rsidRPr="00FF48AE" w:rsidRDefault="004D5036" w:rsidP="004D5036">
            <w:pPr>
              <w:spacing w:line="259" w:lineRule="auto"/>
              <w:rPr>
                <w:rFonts w:cstheme="minorHAnsi"/>
                <w:bCs/>
              </w:rPr>
            </w:pPr>
            <w:r w:rsidRPr="00FF48AE">
              <w:rPr>
                <w:rFonts w:cstheme="minorHAnsi"/>
                <w:bCs/>
              </w:rPr>
              <w:t>7</w:t>
            </w:r>
            <w:r w:rsidRPr="00FF48AE">
              <w:rPr>
                <w:rFonts w:cstheme="minorHAnsi"/>
                <w:bCs/>
                <w:vertAlign w:val="superscript"/>
              </w:rPr>
              <w:t>th</w:t>
            </w:r>
            <w:r w:rsidRPr="00FF48AE">
              <w:rPr>
                <w:rFonts w:cstheme="minorHAnsi"/>
                <w:bCs/>
              </w:rPr>
              <w:t xml:space="preserve"> May 2026</w:t>
            </w:r>
          </w:p>
        </w:tc>
      </w:tr>
      <w:tr w:rsidR="004D5036" w:rsidRPr="00FF48AE" w14:paraId="00B26B10" w14:textId="77777777" w:rsidTr="004D5036">
        <w:trPr>
          <w:trHeight w:val="265"/>
        </w:trPr>
        <w:tc>
          <w:tcPr>
            <w:tcW w:w="965" w:type="dxa"/>
          </w:tcPr>
          <w:p w14:paraId="6041818F" w14:textId="77777777" w:rsidR="004D5036" w:rsidRPr="00FF48AE" w:rsidRDefault="004D5036" w:rsidP="004D5036">
            <w:pPr>
              <w:spacing w:line="259" w:lineRule="auto"/>
              <w:rPr>
                <w:rFonts w:cstheme="minorHAnsi"/>
                <w:bCs/>
              </w:rPr>
            </w:pPr>
            <w:r w:rsidRPr="00FF48AE">
              <w:rPr>
                <w:rFonts w:cstheme="minorHAnsi"/>
                <w:bCs/>
              </w:rPr>
              <w:t>5</w:t>
            </w:r>
          </w:p>
        </w:tc>
        <w:tc>
          <w:tcPr>
            <w:tcW w:w="3999" w:type="dxa"/>
          </w:tcPr>
          <w:p w14:paraId="4C142A8F" w14:textId="77777777" w:rsidR="004D5036" w:rsidRPr="00FF48AE" w:rsidRDefault="004D5036" w:rsidP="004D5036">
            <w:pPr>
              <w:spacing w:line="259" w:lineRule="auto"/>
              <w:rPr>
                <w:rFonts w:cstheme="minorHAnsi"/>
              </w:rPr>
            </w:pPr>
            <w:r w:rsidRPr="00FF48AE">
              <w:rPr>
                <w:rFonts w:cstheme="minorHAnsi"/>
              </w:rPr>
              <w:t>Non-medicines utilisation sub committee</w:t>
            </w:r>
          </w:p>
        </w:tc>
        <w:tc>
          <w:tcPr>
            <w:tcW w:w="2124" w:type="dxa"/>
          </w:tcPr>
          <w:p w14:paraId="3CB18119" w14:textId="77777777" w:rsidR="004D5036" w:rsidRPr="00FF48AE" w:rsidRDefault="004D5036" w:rsidP="004D5036">
            <w:pPr>
              <w:spacing w:line="259" w:lineRule="auto"/>
              <w:rPr>
                <w:rFonts w:cstheme="minorHAnsi"/>
                <w:bCs/>
              </w:rPr>
            </w:pPr>
            <w:r w:rsidRPr="00FF48AE">
              <w:rPr>
                <w:rFonts w:cstheme="minorHAnsi"/>
                <w:bCs/>
              </w:rPr>
              <w:t>12</w:t>
            </w:r>
            <w:r w:rsidRPr="00FF48AE">
              <w:rPr>
                <w:rFonts w:cstheme="minorHAnsi"/>
                <w:bCs/>
                <w:vertAlign w:val="superscript"/>
              </w:rPr>
              <w:t>th</w:t>
            </w:r>
            <w:r w:rsidRPr="00FF48AE">
              <w:rPr>
                <w:rFonts w:cstheme="minorHAnsi"/>
                <w:bCs/>
              </w:rPr>
              <w:t xml:space="preserve"> May 2026</w:t>
            </w:r>
          </w:p>
        </w:tc>
      </w:tr>
      <w:tr w:rsidR="004D5036" w:rsidRPr="00FF48AE" w14:paraId="13965815" w14:textId="77777777" w:rsidTr="004D5036">
        <w:trPr>
          <w:trHeight w:val="265"/>
        </w:trPr>
        <w:tc>
          <w:tcPr>
            <w:tcW w:w="965" w:type="dxa"/>
          </w:tcPr>
          <w:p w14:paraId="57C1E328" w14:textId="77777777" w:rsidR="004D5036" w:rsidRPr="00FF48AE" w:rsidRDefault="004D5036" w:rsidP="004D5036">
            <w:pPr>
              <w:spacing w:line="259" w:lineRule="auto"/>
              <w:rPr>
                <w:rFonts w:cstheme="minorHAnsi"/>
                <w:bCs/>
              </w:rPr>
            </w:pPr>
            <w:r w:rsidRPr="00FF48AE">
              <w:rPr>
                <w:rFonts w:cstheme="minorHAnsi"/>
                <w:bCs/>
              </w:rPr>
              <w:t>6</w:t>
            </w:r>
          </w:p>
        </w:tc>
        <w:tc>
          <w:tcPr>
            <w:tcW w:w="3999" w:type="dxa"/>
          </w:tcPr>
          <w:p w14:paraId="44346507" w14:textId="77777777" w:rsidR="004D5036" w:rsidRPr="00FF48AE" w:rsidRDefault="004D5036" w:rsidP="004D5036">
            <w:pPr>
              <w:spacing w:line="259" w:lineRule="auto"/>
              <w:rPr>
                <w:rFonts w:cstheme="minorHAnsi"/>
              </w:rPr>
            </w:pPr>
            <w:r w:rsidRPr="00FF48AE">
              <w:rPr>
                <w:rFonts w:cstheme="minorHAnsi"/>
              </w:rPr>
              <w:t>Adult Vaccination Group</w:t>
            </w:r>
          </w:p>
        </w:tc>
        <w:tc>
          <w:tcPr>
            <w:tcW w:w="2124" w:type="dxa"/>
          </w:tcPr>
          <w:p w14:paraId="29148746" w14:textId="77777777" w:rsidR="004D5036" w:rsidRPr="00FF48AE" w:rsidRDefault="004D5036" w:rsidP="004D5036">
            <w:pPr>
              <w:spacing w:line="259" w:lineRule="auto"/>
              <w:rPr>
                <w:rFonts w:cstheme="minorHAnsi"/>
                <w:bCs/>
              </w:rPr>
            </w:pPr>
            <w:r w:rsidRPr="00FF48AE">
              <w:rPr>
                <w:rFonts w:cstheme="minorHAnsi"/>
                <w:bCs/>
              </w:rPr>
              <w:t>19</w:t>
            </w:r>
            <w:r w:rsidRPr="00FF48AE">
              <w:rPr>
                <w:rFonts w:cstheme="minorHAnsi"/>
                <w:bCs/>
                <w:vertAlign w:val="superscript"/>
              </w:rPr>
              <w:t>th</w:t>
            </w:r>
            <w:r w:rsidRPr="00FF48AE">
              <w:rPr>
                <w:rFonts w:cstheme="minorHAnsi"/>
                <w:bCs/>
              </w:rPr>
              <w:t xml:space="preserve"> May 2026</w:t>
            </w:r>
          </w:p>
        </w:tc>
      </w:tr>
      <w:tr w:rsidR="004D5036" w:rsidRPr="00FF48AE" w14:paraId="7D51E1D8" w14:textId="77777777" w:rsidTr="004D5036">
        <w:trPr>
          <w:trHeight w:val="265"/>
        </w:trPr>
        <w:tc>
          <w:tcPr>
            <w:tcW w:w="965" w:type="dxa"/>
          </w:tcPr>
          <w:p w14:paraId="09BDD455" w14:textId="77777777" w:rsidR="004D5036" w:rsidRPr="00FF48AE" w:rsidRDefault="004D5036" w:rsidP="004D5036">
            <w:pPr>
              <w:spacing w:line="259" w:lineRule="auto"/>
              <w:rPr>
                <w:rFonts w:cstheme="minorHAnsi"/>
                <w:bCs/>
              </w:rPr>
            </w:pPr>
            <w:r w:rsidRPr="00FF48AE">
              <w:rPr>
                <w:rFonts w:cstheme="minorHAnsi"/>
                <w:bCs/>
              </w:rPr>
              <w:lastRenderedPageBreak/>
              <w:t>7</w:t>
            </w:r>
          </w:p>
        </w:tc>
        <w:tc>
          <w:tcPr>
            <w:tcW w:w="3999" w:type="dxa"/>
          </w:tcPr>
          <w:p w14:paraId="528764EB" w14:textId="77777777" w:rsidR="004D5036" w:rsidRPr="00FF48AE" w:rsidRDefault="004D5036" w:rsidP="004D5036">
            <w:pPr>
              <w:spacing w:line="259" w:lineRule="auto"/>
              <w:rPr>
                <w:rFonts w:cstheme="minorHAnsi"/>
              </w:rPr>
            </w:pPr>
            <w:r w:rsidRPr="00FF48AE">
              <w:rPr>
                <w:rFonts w:cstheme="minorHAnsi"/>
              </w:rPr>
              <w:t>PC MEIG</w:t>
            </w:r>
          </w:p>
        </w:tc>
        <w:tc>
          <w:tcPr>
            <w:tcW w:w="2124" w:type="dxa"/>
          </w:tcPr>
          <w:p w14:paraId="2F37735F" w14:textId="77777777" w:rsidR="004D5036" w:rsidRPr="00FF48AE" w:rsidRDefault="004D5036" w:rsidP="004D5036">
            <w:pPr>
              <w:spacing w:line="259" w:lineRule="auto"/>
              <w:rPr>
                <w:rFonts w:cstheme="minorHAnsi"/>
                <w:bCs/>
              </w:rPr>
            </w:pPr>
            <w:r w:rsidRPr="00FF48AE">
              <w:rPr>
                <w:rFonts w:cstheme="minorHAnsi"/>
                <w:bCs/>
              </w:rPr>
              <w:t>26</w:t>
            </w:r>
            <w:r w:rsidRPr="00FF48AE">
              <w:rPr>
                <w:rFonts w:cstheme="minorHAnsi"/>
                <w:bCs/>
                <w:vertAlign w:val="superscript"/>
              </w:rPr>
              <w:t>th</w:t>
            </w:r>
            <w:r w:rsidRPr="00FF48AE">
              <w:rPr>
                <w:rFonts w:cstheme="minorHAnsi"/>
                <w:bCs/>
              </w:rPr>
              <w:t xml:space="preserve"> May 2026</w:t>
            </w:r>
          </w:p>
        </w:tc>
      </w:tr>
      <w:tr w:rsidR="004D5036" w:rsidRPr="00FF48AE" w14:paraId="12B88940" w14:textId="77777777" w:rsidTr="004D5036">
        <w:trPr>
          <w:trHeight w:val="265"/>
        </w:trPr>
        <w:tc>
          <w:tcPr>
            <w:tcW w:w="965" w:type="dxa"/>
          </w:tcPr>
          <w:p w14:paraId="49520F9B" w14:textId="77777777" w:rsidR="004D5036" w:rsidRPr="00FF48AE" w:rsidRDefault="004D5036" w:rsidP="004D5036">
            <w:pPr>
              <w:spacing w:line="259" w:lineRule="auto"/>
              <w:rPr>
                <w:rFonts w:cstheme="minorHAnsi"/>
                <w:bCs/>
              </w:rPr>
            </w:pPr>
            <w:r w:rsidRPr="00FF48AE">
              <w:rPr>
                <w:rFonts w:cstheme="minorHAnsi"/>
                <w:bCs/>
              </w:rPr>
              <w:t>8</w:t>
            </w:r>
          </w:p>
        </w:tc>
        <w:tc>
          <w:tcPr>
            <w:tcW w:w="3999" w:type="dxa"/>
          </w:tcPr>
          <w:p w14:paraId="6C2D9C20" w14:textId="77777777" w:rsidR="004D5036" w:rsidRPr="00FF48AE" w:rsidRDefault="004D5036" w:rsidP="004D5036">
            <w:pPr>
              <w:spacing w:line="259" w:lineRule="auto"/>
              <w:rPr>
                <w:rFonts w:cstheme="minorHAnsi"/>
              </w:rPr>
            </w:pPr>
            <w:r w:rsidRPr="00FF48AE">
              <w:rPr>
                <w:rFonts w:cstheme="minorHAnsi"/>
              </w:rPr>
              <w:t>Medicines Utilisation Subcommittee of ADTC</w:t>
            </w:r>
          </w:p>
        </w:tc>
        <w:tc>
          <w:tcPr>
            <w:tcW w:w="2124" w:type="dxa"/>
          </w:tcPr>
          <w:p w14:paraId="2CCB6A44" w14:textId="77777777" w:rsidR="004D5036" w:rsidRPr="00FF48AE" w:rsidRDefault="004D5036" w:rsidP="004D5036">
            <w:pPr>
              <w:spacing w:line="259" w:lineRule="auto"/>
              <w:rPr>
                <w:rFonts w:cstheme="minorHAnsi"/>
                <w:bCs/>
              </w:rPr>
            </w:pPr>
            <w:r w:rsidRPr="00FF48AE">
              <w:rPr>
                <w:rFonts w:cstheme="minorHAnsi"/>
                <w:bCs/>
              </w:rPr>
              <w:t>27</w:t>
            </w:r>
            <w:r w:rsidRPr="00FF48AE">
              <w:rPr>
                <w:rFonts w:cstheme="minorHAnsi"/>
                <w:bCs/>
                <w:vertAlign w:val="superscript"/>
              </w:rPr>
              <w:t>th</w:t>
            </w:r>
            <w:r w:rsidRPr="00FF48AE">
              <w:rPr>
                <w:rFonts w:cstheme="minorHAnsi"/>
                <w:bCs/>
              </w:rPr>
              <w:t xml:space="preserve"> May 2026</w:t>
            </w:r>
          </w:p>
        </w:tc>
      </w:tr>
      <w:tr w:rsidR="004D5036" w:rsidRPr="00FF48AE" w14:paraId="64C5F4F1" w14:textId="77777777" w:rsidTr="004D5036">
        <w:trPr>
          <w:trHeight w:val="265"/>
        </w:trPr>
        <w:tc>
          <w:tcPr>
            <w:tcW w:w="965" w:type="dxa"/>
          </w:tcPr>
          <w:p w14:paraId="4C7607DC" w14:textId="77777777" w:rsidR="004D5036" w:rsidRPr="00FF48AE" w:rsidRDefault="004D5036" w:rsidP="004D5036">
            <w:pPr>
              <w:spacing w:line="259" w:lineRule="auto"/>
              <w:rPr>
                <w:rFonts w:cstheme="minorHAnsi"/>
                <w:bCs/>
              </w:rPr>
            </w:pPr>
            <w:r w:rsidRPr="00FF48AE">
              <w:rPr>
                <w:rFonts w:cstheme="minorHAnsi"/>
                <w:bCs/>
              </w:rPr>
              <w:t>9</w:t>
            </w:r>
          </w:p>
        </w:tc>
        <w:tc>
          <w:tcPr>
            <w:tcW w:w="3999" w:type="dxa"/>
          </w:tcPr>
          <w:p w14:paraId="671851D2" w14:textId="77777777" w:rsidR="004D5036" w:rsidRPr="00FF48AE" w:rsidRDefault="004D5036" w:rsidP="004D5036">
            <w:pPr>
              <w:spacing w:line="259" w:lineRule="auto"/>
              <w:rPr>
                <w:rFonts w:cstheme="minorHAnsi"/>
              </w:rPr>
            </w:pPr>
            <w:r w:rsidRPr="00FF48AE">
              <w:rPr>
                <w:rFonts w:cstheme="minorHAnsi"/>
              </w:rPr>
              <w:t>Clinical Sustainability &amp; Primary Care (Climate) Group</w:t>
            </w:r>
          </w:p>
        </w:tc>
        <w:tc>
          <w:tcPr>
            <w:tcW w:w="2124" w:type="dxa"/>
          </w:tcPr>
          <w:p w14:paraId="2B07C965" w14:textId="77777777" w:rsidR="004D5036" w:rsidRPr="00FF48AE" w:rsidRDefault="004D5036" w:rsidP="004D5036">
            <w:pPr>
              <w:spacing w:line="259" w:lineRule="auto"/>
              <w:rPr>
                <w:rFonts w:cstheme="minorHAnsi"/>
                <w:bCs/>
              </w:rPr>
            </w:pPr>
            <w:r w:rsidRPr="00FF48AE">
              <w:rPr>
                <w:rFonts w:cstheme="minorHAnsi"/>
                <w:bCs/>
              </w:rPr>
              <w:t>23</w:t>
            </w:r>
            <w:r w:rsidRPr="00FF48AE">
              <w:rPr>
                <w:rFonts w:cstheme="minorHAnsi"/>
                <w:bCs/>
                <w:vertAlign w:val="superscript"/>
              </w:rPr>
              <w:t>rd</w:t>
            </w:r>
            <w:r w:rsidRPr="00FF48AE">
              <w:rPr>
                <w:rFonts w:cstheme="minorHAnsi"/>
                <w:bCs/>
              </w:rPr>
              <w:t xml:space="preserve"> April 2026</w:t>
            </w:r>
          </w:p>
        </w:tc>
      </w:tr>
      <w:bookmarkEnd w:id="15"/>
    </w:tbl>
    <w:p w14:paraId="3FB11F87" w14:textId="211F57B5" w:rsidR="002D1451" w:rsidRPr="002D1451" w:rsidRDefault="002D1451" w:rsidP="00FF48AE">
      <w:pPr>
        <w:spacing w:line="259" w:lineRule="auto"/>
        <w:rPr>
          <w:rFonts w:cstheme="minorHAnsi"/>
          <w:b/>
          <w:bCs/>
        </w:rPr>
      </w:pPr>
    </w:p>
    <w:p w14:paraId="39952A28" w14:textId="20B4BD45" w:rsidR="00FF48AE" w:rsidRPr="002D1451" w:rsidRDefault="002D1451" w:rsidP="002D1451">
      <w:pPr>
        <w:pStyle w:val="ListParagraph"/>
        <w:numPr>
          <w:ilvl w:val="0"/>
          <w:numId w:val="40"/>
        </w:numPr>
        <w:spacing w:line="259" w:lineRule="auto"/>
        <w:ind w:left="360"/>
        <w:rPr>
          <w:rFonts w:cstheme="minorHAnsi"/>
        </w:rPr>
      </w:pPr>
      <w:r>
        <w:rPr>
          <w:rFonts w:cstheme="minorHAnsi"/>
          <w:u w:val="single"/>
        </w:rPr>
        <w:t>26/36.7-PC MEIG, 26</w:t>
      </w:r>
      <w:r w:rsidRPr="002D1451">
        <w:rPr>
          <w:rFonts w:cstheme="minorHAnsi"/>
          <w:u w:val="single"/>
          <w:vertAlign w:val="superscript"/>
        </w:rPr>
        <w:t>th</w:t>
      </w:r>
      <w:r>
        <w:rPr>
          <w:rFonts w:cstheme="minorHAnsi"/>
          <w:u w:val="single"/>
        </w:rPr>
        <w:t xml:space="preserve"> May 2026</w:t>
      </w:r>
    </w:p>
    <w:p w14:paraId="17A2A8CD" w14:textId="77777777" w:rsidR="004D5036" w:rsidRDefault="00315EEB" w:rsidP="002D1451">
      <w:pPr>
        <w:pStyle w:val="ListParagraph"/>
        <w:numPr>
          <w:ilvl w:val="0"/>
          <w:numId w:val="40"/>
        </w:numPr>
        <w:spacing w:line="259" w:lineRule="auto"/>
        <w:ind w:left="360"/>
        <w:rPr>
          <w:rFonts w:cstheme="minorHAnsi"/>
        </w:rPr>
      </w:pPr>
      <w:r w:rsidRPr="00315EEB">
        <w:rPr>
          <w:rFonts w:cstheme="minorHAnsi"/>
        </w:rPr>
        <w:t xml:space="preserve">The Committee considered the request for GP data to be used for research purposes. </w:t>
      </w:r>
    </w:p>
    <w:p w14:paraId="69A256EB" w14:textId="77777777" w:rsidR="004D5036" w:rsidRDefault="00315EEB" w:rsidP="002D1451">
      <w:pPr>
        <w:pStyle w:val="ListParagraph"/>
        <w:numPr>
          <w:ilvl w:val="0"/>
          <w:numId w:val="40"/>
        </w:numPr>
        <w:spacing w:line="259" w:lineRule="auto"/>
        <w:ind w:left="360"/>
        <w:rPr>
          <w:rFonts w:cstheme="minorHAnsi"/>
        </w:rPr>
      </w:pPr>
      <w:r w:rsidRPr="00315EEB">
        <w:rPr>
          <w:rFonts w:cstheme="minorHAnsi"/>
        </w:rPr>
        <w:t>The Committee did not support the use of GP data for this purpose</w:t>
      </w:r>
      <w:r>
        <w:rPr>
          <w:rFonts w:cstheme="minorHAnsi"/>
        </w:rPr>
        <w:t xml:space="preserve"> at the current time</w:t>
      </w:r>
      <w:r w:rsidRPr="00315EEB">
        <w:rPr>
          <w:rFonts w:cstheme="minorHAnsi"/>
        </w:rPr>
        <w:t>.</w:t>
      </w:r>
    </w:p>
    <w:p w14:paraId="281B73BC" w14:textId="56327AEA" w:rsidR="00953E83" w:rsidRPr="002D1451" w:rsidRDefault="00953E83" w:rsidP="002D1451">
      <w:pPr>
        <w:pStyle w:val="ListParagraph"/>
        <w:numPr>
          <w:ilvl w:val="0"/>
          <w:numId w:val="40"/>
        </w:numPr>
        <w:spacing w:line="259" w:lineRule="auto"/>
        <w:ind w:left="360"/>
        <w:rPr>
          <w:rFonts w:cstheme="minorHAnsi"/>
        </w:rPr>
      </w:pPr>
      <w:r>
        <w:rPr>
          <w:rFonts w:cstheme="minorHAnsi"/>
          <w:b/>
          <w:bCs/>
          <w:i/>
          <w:iCs/>
          <w:u w:val="single"/>
        </w:rPr>
        <w:t>Action Point: provide feedback.</w:t>
      </w:r>
    </w:p>
    <w:p w14:paraId="68A7E5BE" w14:textId="77777777" w:rsidR="00FF48AE" w:rsidRDefault="00FF48AE" w:rsidP="00FF48AE">
      <w:pPr>
        <w:spacing w:line="259" w:lineRule="auto"/>
        <w:rPr>
          <w:rFonts w:cstheme="minorHAnsi"/>
        </w:rPr>
      </w:pPr>
    </w:p>
    <w:p w14:paraId="52443B4D" w14:textId="29EAA825" w:rsidR="00FD3C9A" w:rsidRDefault="00FD3C9A" w:rsidP="00FD3C9A">
      <w:pPr>
        <w:pStyle w:val="ListParagraph"/>
        <w:numPr>
          <w:ilvl w:val="0"/>
          <w:numId w:val="40"/>
        </w:numPr>
        <w:spacing w:line="259" w:lineRule="auto"/>
        <w:ind w:left="360"/>
        <w:rPr>
          <w:rFonts w:cstheme="minorHAnsi"/>
        </w:rPr>
      </w:pPr>
      <w:r>
        <w:rPr>
          <w:rFonts w:cstheme="minorHAnsi"/>
        </w:rPr>
        <w:t xml:space="preserve">The other reports were noted by the GP Subcommittee. </w:t>
      </w:r>
    </w:p>
    <w:p w14:paraId="28EDCD25" w14:textId="77777777" w:rsidR="00FD3C9A" w:rsidRPr="00FD3C9A" w:rsidRDefault="00FD3C9A" w:rsidP="00FD3C9A">
      <w:pPr>
        <w:spacing w:line="259" w:lineRule="auto"/>
        <w:rPr>
          <w:rFonts w:cstheme="minorHAnsi"/>
        </w:rPr>
      </w:pPr>
    </w:p>
    <w:p w14:paraId="0C259B2B" w14:textId="77777777" w:rsidR="00FF48AE" w:rsidRPr="00953E83" w:rsidRDefault="00FF48AE" w:rsidP="00FF48AE">
      <w:pPr>
        <w:spacing w:line="259" w:lineRule="auto"/>
        <w:rPr>
          <w:rFonts w:cstheme="minorHAnsi"/>
          <w:i/>
          <w:iCs/>
          <w:u w:val="single"/>
        </w:rPr>
      </w:pPr>
      <w:r w:rsidRPr="00953E83">
        <w:rPr>
          <w:rFonts w:cstheme="minorHAnsi"/>
          <w:b/>
          <w:bCs/>
          <w:u w:val="single"/>
        </w:rPr>
        <w:t xml:space="preserve">Changes to Medical List, </w:t>
      </w:r>
      <w:r w:rsidRPr="00953E83">
        <w:rPr>
          <w:rFonts w:cstheme="minorHAnsi"/>
          <w:u w:val="single"/>
        </w:rPr>
        <w:t xml:space="preserve">Paper GPSub_17, </w:t>
      </w:r>
      <w:r w:rsidRPr="00953E83">
        <w:rPr>
          <w:rFonts w:cstheme="minorHAnsi"/>
          <w:i/>
          <w:iCs/>
          <w:u w:val="single"/>
        </w:rPr>
        <w:t>For noting</w:t>
      </w:r>
    </w:p>
    <w:p w14:paraId="54581A3C" w14:textId="0B4E535B" w:rsidR="002D1451" w:rsidRDefault="002D1451" w:rsidP="00FF48AE">
      <w:pPr>
        <w:spacing w:line="259" w:lineRule="auto"/>
        <w:rPr>
          <w:rFonts w:cstheme="minorHAnsi"/>
          <w:b/>
          <w:bCs/>
        </w:rPr>
      </w:pPr>
      <w:r w:rsidRPr="002D1451">
        <w:rPr>
          <w:rFonts w:cstheme="minorHAnsi"/>
          <w:b/>
          <w:bCs/>
        </w:rPr>
        <w:t>26/37</w:t>
      </w:r>
    </w:p>
    <w:p w14:paraId="18C7DAA6" w14:textId="5D72CD5A" w:rsidR="002D1451" w:rsidRPr="002D1451" w:rsidRDefault="002D1451" w:rsidP="002D1451">
      <w:pPr>
        <w:pStyle w:val="ListParagraph"/>
        <w:numPr>
          <w:ilvl w:val="0"/>
          <w:numId w:val="39"/>
        </w:numPr>
        <w:spacing w:line="259" w:lineRule="auto"/>
        <w:ind w:left="360"/>
        <w:rPr>
          <w:rFonts w:cstheme="minorHAnsi"/>
        </w:rPr>
      </w:pPr>
      <w:r w:rsidRPr="002D1451">
        <w:rPr>
          <w:rFonts w:cstheme="minorHAnsi"/>
        </w:rPr>
        <w:t>This paper was noted by the GP Subcommittee.</w:t>
      </w:r>
    </w:p>
    <w:p w14:paraId="39876815" w14:textId="77777777" w:rsidR="002D1451" w:rsidRPr="00FF48AE" w:rsidRDefault="002D1451" w:rsidP="00FF48AE">
      <w:pPr>
        <w:spacing w:line="259" w:lineRule="auto"/>
        <w:rPr>
          <w:rFonts w:cstheme="minorHAnsi"/>
          <w:i/>
          <w:iCs/>
        </w:rPr>
      </w:pPr>
    </w:p>
    <w:p w14:paraId="19BE7EBD" w14:textId="77777777" w:rsidR="00FF48AE" w:rsidRDefault="00FF48AE" w:rsidP="00FF48AE">
      <w:pPr>
        <w:spacing w:line="259" w:lineRule="auto"/>
        <w:rPr>
          <w:rFonts w:cstheme="minorHAnsi"/>
          <w:b/>
          <w:bCs/>
        </w:rPr>
      </w:pPr>
      <w:r w:rsidRPr="00FF48AE">
        <w:rPr>
          <w:rFonts w:cstheme="minorHAnsi"/>
          <w:b/>
          <w:bCs/>
        </w:rPr>
        <w:t>Applications to Amend Practices’ Areas</w:t>
      </w:r>
    </w:p>
    <w:p w14:paraId="7CB2C8A5" w14:textId="4F9A4D4E" w:rsidR="002D1451" w:rsidRPr="00FF48AE" w:rsidRDefault="002D1451" w:rsidP="00FF48AE">
      <w:pPr>
        <w:spacing w:line="259" w:lineRule="auto"/>
        <w:rPr>
          <w:rFonts w:cstheme="minorHAnsi"/>
          <w:b/>
          <w:bCs/>
        </w:rPr>
      </w:pPr>
      <w:r>
        <w:rPr>
          <w:rFonts w:cstheme="minorHAnsi"/>
          <w:b/>
          <w:bCs/>
        </w:rPr>
        <w:t>26/38</w:t>
      </w:r>
    </w:p>
    <w:p w14:paraId="3C10E264" w14:textId="77777777" w:rsidR="00FF48AE" w:rsidRPr="002D1451" w:rsidRDefault="00FF48AE" w:rsidP="002D1451">
      <w:pPr>
        <w:pStyle w:val="ListParagraph"/>
        <w:numPr>
          <w:ilvl w:val="0"/>
          <w:numId w:val="38"/>
        </w:numPr>
        <w:spacing w:line="259" w:lineRule="auto"/>
        <w:ind w:left="360"/>
        <w:rPr>
          <w:rFonts w:cstheme="minorHAnsi"/>
          <w:u w:val="single"/>
        </w:rPr>
      </w:pPr>
      <w:r w:rsidRPr="002D1451">
        <w:rPr>
          <w:rFonts w:cstheme="minorHAnsi"/>
          <w:u w:val="single"/>
        </w:rPr>
        <w:t>Dr Hogan and Allen, 86228</w:t>
      </w:r>
    </w:p>
    <w:p w14:paraId="6EC9E5F9" w14:textId="77777777" w:rsidR="00FF48AE" w:rsidRPr="002D1451" w:rsidRDefault="00FF48AE" w:rsidP="002D1451">
      <w:pPr>
        <w:pStyle w:val="ListParagraph"/>
        <w:numPr>
          <w:ilvl w:val="0"/>
          <w:numId w:val="38"/>
        </w:numPr>
        <w:spacing w:line="259" w:lineRule="auto"/>
        <w:ind w:left="360"/>
        <w:rPr>
          <w:rFonts w:cstheme="minorHAnsi"/>
          <w:u w:val="single"/>
        </w:rPr>
      </w:pPr>
      <w:r w:rsidRPr="002D1451">
        <w:rPr>
          <w:rFonts w:cstheme="minorHAnsi"/>
          <w:u w:val="single"/>
        </w:rPr>
        <w:t>Woodhead, 43581</w:t>
      </w:r>
    </w:p>
    <w:p w14:paraId="528884E1" w14:textId="77777777" w:rsidR="00FF48AE" w:rsidRDefault="00FF48AE" w:rsidP="002D1451">
      <w:pPr>
        <w:pStyle w:val="ListParagraph"/>
        <w:numPr>
          <w:ilvl w:val="0"/>
          <w:numId w:val="38"/>
        </w:numPr>
        <w:spacing w:line="259" w:lineRule="auto"/>
        <w:ind w:left="360"/>
        <w:rPr>
          <w:rFonts w:cstheme="minorHAnsi"/>
          <w:u w:val="single"/>
        </w:rPr>
      </w:pPr>
      <w:r w:rsidRPr="002D1451">
        <w:rPr>
          <w:rFonts w:cstheme="minorHAnsi"/>
          <w:u w:val="single"/>
        </w:rPr>
        <w:t>Kingspark Medical Surgery, 49770</w:t>
      </w:r>
    </w:p>
    <w:p w14:paraId="7CCDE623" w14:textId="250CEA83" w:rsidR="002D1451" w:rsidRPr="002D1451" w:rsidRDefault="002D1451" w:rsidP="002D1451">
      <w:pPr>
        <w:pStyle w:val="ListParagraph"/>
        <w:numPr>
          <w:ilvl w:val="0"/>
          <w:numId w:val="39"/>
        </w:numPr>
        <w:spacing w:line="259" w:lineRule="auto"/>
        <w:ind w:left="360"/>
        <w:rPr>
          <w:rFonts w:cstheme="minorHAnsi"/>
        </w:rPr>
      </w:pPr>
      <w:r>
        <w:rPr>
          <w:rFonts w:cstheme="minorHAnsi"/>
        </w:rPr>
        <w:t xml:space="preserve">The GP Subcommittee agreed to take no exception to the three applications to amend practices’ areas. </w:t>
      </w:r>
    </w:p>
    <w:p w14:paraId="5A5E9CA7" w14:textId="77777777" w:rsidR="00FF48AE" w:rsidRPr="00FF48AE" w:rsidRDefault="00FF48AE" w:rsidP="00FF48AE">
      <w:pPr>
        <w:spacing w:line="259" w:lineRule="auto"/>
        <w:rPr>
          <w:rFonts w:cstheme="minorHAnsi"/>
        </w:rPr>
      </w:pPr>
    </w:p>
    <w:p w14:paraId="7AACA89A" w14:textId="77777777" w:rsidR="00FF48AE" w:rsidRDefault="00FF48AE" w:rsidP="00FF48AE">
      <w:pPr>
        <w:spacing w:line="259" w:lineRule="auto"/>
        <w:rPr>
          <w:rFonts w:cstheme="minorHAnsi"/>
          <w:b/>
          <w:bCs/>
        </w:rPr>
      </w:pPr>
      <w:bookmarkStart w:id="16" w:name="_Hlk232601112"/>
      <w:r w:rsidRPr="00FF48AE">
        <w:rPr>
          <w:rFonts w:cstheme="minorHAnsi"/>
          <w:b/>
          <w:bCs/>
        </w:rPr>
        <w:t>Recess</w:t>
      </w:r>
    </w:p>
    <w:p w14:paraId="74625390" w14:textId="61A30A10" w:rsidR="002D1451" w:rsidRPr="00FF48AE" w:rsidRDefault="002D1451" w:rsidP="00FF48AE">
      <w:pPr>
        <w:spacing w:line="259" w:lineRule="auto"/>
        <w:rPr>
          <w:rFonts w:cstheme="minorHAnsi"/>
          <w:b/>
          <w:bCs/>
        </w:rPr>
      </w:pPr>
      <w:r>
        <w:rPr>
          <w:rFonts w:cstheme="minorHAnsi"/>
          <w:b/>
          <w:bCs/>
        </w:rPr>
        <w:t>26/39</w:t>
      </w:r>
    </w:p>
    <w:p w14:paraId="4CCD1867" w14:textId="5FA2AE0A" w:rsidR="00FF48AE" w:rsidRPr="002D1451" w:rsidRDefault="00FF48AE" w:rsidP="002D1451">
      <w:pPr>
        <w:pStyle w:val="ListParagraph"/>
        <w:numPr>
          <w:ilvl w:val="0"/>
          <w:numId w:val="37"/>
        </w:numPr>
        <w:spacing w:line="259" w:lineRule="auto"/>
        <w:ind w:left="360"/>
        <w:rPr>
          <w:rFonts w:cstheme="minorHAnsi"/>
          <w:b/>
          <w:bCs/>
        </w:rPr>
      </w:pPr>
      <w:r w:rsidRPr="002D1451">
        <w:rPr>
          <w:rFonts w:cstheme="minorHAnsi"/>
        </w:rPr>
        <w:t xml:space="preserve">The GP Subcommittee </w:t>
      </w:r>
      <w:r w:rsidR="002D1451" w:rsidRPr="002D1451">
        <w:rPr>
          <w:rFonts w:cstheme="minorHAnsi"/>
        </w:rPr>
        <w:t xml:space="preserve">agreed </w:t>
      </w:r>
      <w:r w:rsidRPr="002D1451">
        <w:rPr>
          <w:rFonts w:cstheme="minorHAnsi"/>
        </w:rPr>
        <w:t>to delegate powers to the executive until the GP Subcommittee meeting on 21</w:t>
      </w:r>
      <w:r w:rsidRPr="002D1451">
        <w:rPr>
          <w:rFonts w:cstheme="minorHAnsi"/>
          <w:vertAlign w:val="superscript"/>
        </w:rPr>
        <w:t>st</w:t>
      </w:r>
      <w:r w:rsidRPr="002D1451">
        <w:rPr>
          <w:rFonts w:cstheme="minorHAnsi"/>
        </w:rPr>
        <w:t xml:space="preserve"> September.</w:t>
      </w:r>
      <w:r w:rsidRPr="002D1451">
        <w:rPr>
          <w:rFonts w:cstheme="minorHAnsi"/>
        </w:rPr>
        <w:br/>
      </w:r>
    </w:p>
    <w:bookmarkEnd w:id="16"/>
    <w:p w14:paraId="732DF604" w14:textId="77777777" w:rsidR="00FF48AE" w:rsidRDefault="00FF48AE" w:rsidP="00FF48AE">
      <w:pPr>
        <w:spacing w:line="259" w:lineRule="auto"/>
        <w:rPr>
          <w:rFonts w:cstheme="minorHAnsi"/>
          <w:b/>
          <w:bCs/>
        </w:rPr>
      </w:pPr>
      <w:r w:rsidRPr="00FF48AE">
        <w:rPr>
          <w:rFonts w:cstheme="minorHAnsi"/>
          <w:b/>
          <w:bCs/>
        </w:rPr>
        <w:t>Any Other Business</w:t>
      </w:r>
    </w:p>
    <w:p w14:paraId="35E0D2F3" w14:textId="184A5AFB" w:rsidR="002D1451" w:rsidRDefault="002D1451" w:rsidP="00FF48AE">
      <w:pPr>
        <w:spacing w:line="259" w:lineRule="auto"/>
        <w:rPr>
          <w:rFonts w:cstheme="minorHAnsi"/>
          <w:b/>
          <w:bCs/>
        </w:rPr>
      </w:pPr>
      <w:r>
        <w:rPr>
          <w:rFonts w:cstheme="minorHAnsi"/>
          <w:b/>
          <w:bCs/>
        </w:rPr>
        <w:t>26/40</w:t>
      </w:r>
    </w:p>
    <w:p w14:paraId="1053C840" w14:textId="25DF050B" w:rsidR="002D1451" w:rsidRPr="002D1451" w:rsidRDefault="002D1451" w:rsidP="002D1451">
      <w:pPr>
        <w:pStyle w:val="ListParagraph"/>
        <w:numPr>
          <w:ilvl w:val="0"/>
          <w:numId w:val="37"/>
        </w:numPr>
        <w:spacing w:line="259" w:lineRule="auto"/>
        <w:ind w:left="360"/>
        <w:rPr>
          <w:rFonts w:cstheme="minorHAnsi"/>
        </w:rPr>
      </w:pPr>
      <w:r w:rsidRPr="002D1451">
        <w:rPr>
          <w:rFonts w:cstheme="minorHAnsi"/>
        </w:rPr>
        <w:t>There was no other business.</w:t>
      </w:r>
    </w:p>
    <w:p w14:paraId="492F8A88" w14:textId="77777777" w:rsidR="004E04CC" w:rsidRDefault="004E04CC" w:rsidP="00FF48AE">
      <w:pPr>
        <w:spacing w:line="259" w:lineRule="auto"/>
        <w:rPr>
          <w:rFonts w:cstheme="minorHAnsi"/>
        </w:rPr>
      </w:pPr>
    </w:p>
    <w:bookmarkEnd w:id="7"/>
    <w:p w14:paraId="766BF727" w14:textId="776EBBDA" w:rsidR="00943DF6" w:rsidRDefault="00943DF6" w:rsidP="004957AA">
      <w:pPr>
        <w:pStyle w:val="ListParagraph"/>
        <w:numPr>
          <w:ilvl w:val="0"/>
          <w:numId w:val="5"/>
        </w:numPr>
        <w:tabs>
          <w:tab w:val="left" w:pos="6795"/>
        </w:tabs>
        <w:ind w:left="360"/>
        <w:rPr>
          <w:rFonts w:cstheme="minorHAnsi"/>
          <w:b/>
          <w:bCs/>
        </w:rPr>
      </w:pPr>
      <w:r>
        <w:rPr>
          <w:rFonts w:cstheme="minorHAnsi"/>
          <w:b/>
          <w:bCs/>
        </w:rPr>
        <w:t xml:space="preserve">Next Meeting of the GP Subcommittee: </w:t>
      </w:r>
      <w:r>
        <w:rPr>
          <w:rFonts w:cstheme="minorHAnsi"/>
        </w:rPr>
        <w:t xml:space="preserve">Monday, </w:t>
      </w:r>
      <w:r w:rsidR="002D1451">
        <w:rPr>
          <w:rFonts w:cstheme="minorHAnsi"/>
        </w:rPr>
        <w:t>21</w:t>
      </w:r>
      <w:r w:rsidR="002D1451" w:rsidRPr="002D1451">
        <w:rPr>
          <w:rFonts w:cstheme="minorHAnsi"/>
          <w:vertAlign w:val="superscript"/>
        </w:rPr>
        <w:t>st</w:t>
      </w:r>
      <w:r w:rsidR="002D1451">
        <w:rPr>
          <w:rFonts w:cstheme="minorHAnsi"/>
        </w:rPr>
        <w:t xml:space="preserve"> September 2026, 7.30pm, LMC Office</w:t>
      </w:r>
    </w:p>
    <w:p w14:paraId="14B654E2" w14:textId="62648A67" w:rsidR="00315C43" w:rsidRPr="008856F4" w:rsidRDefault="00943DF6" w:rsidP="004957AA">
      <w:pPr>
        <w:pStyle w:val="ListParagraph"/>
        <w:numPr>
          <w:ilvl w:val="0"/>
          <w:numId w:val="5"/>
        </w:numPr>
        <w:tabs>
          <w:tab w:val="left" w:pos="6795"/>
        </w:tabs>
        <w:spacing w:line="259" w:lineRule="auto"/>
        <w:ind w:left="360"/>
        <w:jc w:val="both"/>
        <w:rPr>
          <w:rFonts w:cstheme="minorHAnsi"/>
          <w:b/>
          <w:bCs/>
        </w:rPr>
      </w:pPr>
      <w:r w:rsidRPr="008856F4">
        <w:rPr>
          <w:rFonts w:cstheme="minorHAnsi"/>
          <w:b/>
          <w:bCs/>
        </w:rPr>
        <w:t xml:space="preserve">Next Meeting of the GP Subcommittee’s Executive: </w:t>
      </w:r>
      <w:r w:rsidRPr="008856F4">
        <w:rPr>
          <w:rFonts w:cstheme="minorHAnsi"/>
        </w:rPr>
        <w:t>Monda</w:t>
      </w:r>
      <w:r w:rsidR="00063BF1">
        <w:rPr>
          <w:rFonts w:cstheme="minorHAnsi"/>
        </w:rPr>
        <w:t xml:space="preserve">y, </w:t>
      </w:r>
      <w:r w:rsidR="002D1451">
        <w:rPr>
          <w:rFonts w:cstheme="minorHAnsi"/>
        </w:rPr>
        <w:t>6</w:t>
      </w:r>
      <w:r w:rsidR="002D1451" w:rsidRPr="002D1451">
        <w:rPr>
          <w:rFonts w:cstheme="minorHAnsi"/>
          <w:vertAlign w:val="superscript"/>
        </w:rPr>
        <w:t>th</w:t>
      </w:r>
      <w:r w:rsidR="002D1451">
        <w:rPr>
          <w:rFonts w:cstheme="minorHAnsi"/>
        </w:rPr>
        <w:t xml:space="preserve"> July</w:t>
      </w:r>
      <w:r w:rsidRPr="008856F4">
        <w:rPr>
          <w:rFonts w:cstheme="minorHAnsi"/>
        </w:rPr>
        <w:t xml:space="preserve"> 202</w:t>
      </w:r>
      <w:r w:rsidR="00F93BB8">
        <w:rPr>
          <w:rFonts w:cstheme="minorHAnsi"/>
        </w:rPr>
        <w:t>6</w:t>
      </w:r>
      <w:r w:rsidRPr="008856F4">
        <w:rPr>
          <w:rFonts w:cstheme="minorHAnsi"/>
        </w:rPr>
        <w:t>, 7.30p</w:t>
      </w:r>
      <w:r w:rsidR="008856F4" w:rsidRPr="008856F4">
        <w:rPr>
          <w:rFonts w:cstheme="minorHAnsi"/>
        </w:rPr>
        <w:t>m</w:t>
      </w:r>
      <w:r w:rsidR="00B961F1">
        <w:rPr>
          <w:rFonts w:cstheme="minorHAnsi"/>
        </w:rPr>
        <w:t xml:space="preserve">, </w:t>
      </w:r>
      <w:r w:rsidR="00063BF1">
        <w:rPr>
          <w:rFonts w:cstheme="minorHAnsi"/>
        </w:rPr>
        <w:t>Teams</w:t>
      </w:r>
    </w:p>
    <w:sectPr w:rsidR="00315C43" w:rsidRPr="008856F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A69B4B" w14:textId="77777777" w:rsidR="00DD10D7" w:rsidRDefault="00DD10D7" w:rsidP="00C0549F">
      <w:r>
        <w:separator/>
      </w:r>
    </w:p>
  </w:endnote>
  <w:endnote w:type="continuationSeparator" w:id="0">
    <w:p w14:paraId="443C4BED" w14:textId="77777777" w:rsidR="00DD10D7" w:rsidRDefault="00DD10D7" w:rsidP="00C0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30507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3773135"/>
      <w:docPartObj>
        <w:docPartGallery w:val="Page Numbers (Bottom of Page)"/>
        <w:docPartUnique/>
      </w:docPartObj>
    </w:sdtPr>
    <w:sdtEndPr/>
    <w:sdtContent>
      <w:sdt>
        <w:sdtPr>
          <w:id w:val="-1769616900"/>
          <w:docPartObj>
            <w:docPartGallery w:val="Page Numbers (Top of Page)"/>
            <w:docPartUnique/>
          </w:docPartObj>
        </w:sdtPr>
        <w:sdtEndPr/>
        <w:sdtContent>
          <w:p w14:paraId="6C525195" w14:textId="747A06C8" w:rsidR="007B7C25" w:rsidRDefault="007B7C2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C9D67D1" w14:textId="77777777" w:rsidR="007B7C25" w:rsidRDefault="007B7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9E8A48" w14:textId="77777777" w:rsidR="00DD10D7" w:rsidRDefault="00DD10D7" w:rsidP="00C0549F">
      <w:r>
        <w:separator/>
      </w:r>
    </w:p>
  </w:footnote>
  <w:footnote w:type="continuationSeparator" w:id="0">
    <w:p w14:paraId="44FE7D51" w14:textId="77777777" w:rsidR="00DD10D7" w:rsidRDefault="00DD10D7" w:rsidP="00C05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7AD5D" w14:textId="3C9CCB8B" w:rsidR="007B7C25" w:rsidRPr="00C0549F" w:rsidRDefault="007B7C25" w:rsidP="00C0549F">
    <w:pPr>
      <w:keepNext/>
      <w:jc w:val="center"/>
      <w:outlineLvl w:val="7"/>
      <w:rPr>
        <w:rFonts w:eastAsia="Calibri" w:cstheme="minorHAnsi"/>
        <w:b/>
        <w:sz w:val="24"/>
        <w:szCs w:val="24"/>
        <w:u w:val="single"/>
        <w:lang w:eastAsia="en-GB"/>
      </w:rPr>
    </w:pPr>
    <w:r>
      <w:rPr>
        <w:rFonts w:eastAsia="Calibri" w:cstheme="minorHAnsi"/>
        <w:b/>
        <w:sz w:val="24"/>
        <w:szCs w:val="24"/>
        <w:u w:val="single"/>
        <w:lang w:eastAsia="en-GB"/>
      </w:rPr>
      <w:t>MINUTES</w:t>
    </w:r>
  </w:p>
  <w:p w14:paraId="65066BD5" w14:textId="57414DFD" w:rsidR="007B7C25" w:rsidRDefault="007B7C25" w:rsidP="00C0549F">
    <w:pPr>
      <w:jc w:val="center"/>
      <w:rPr>
        <w:rFonts w:eastAsia="Calibri" w:cstheme="minorHAnsi"/>
        <w:b/>
        <w:sz w:val="24"/>
        <w:szCs w:val="24"/>
        <w:lang w:eastAsia="en-GB"/>
      </w:rPr>
    </w:pPr>
    <w:r>
      <w:rPr>
        <w:rFonts w:eastAsia="Calibri" w:cstheme="minorHAnsi"/>
        <w:b/>
        <w:sz w:val="24"/>
        <w:szCs w:val="24"/>
        <w:lang w:eastAsia="en-GB"/>
      </w:rPr>
      <w:t>M</w:t>
    </w:r>
    <w:r w:rsidRPr="00C0549F">
      <w:rPr>
        <w:rFonts w:eastAsia="Calibri" w:cstheme="minorHAnsi"/>
        <w:b/>
        <w:sz w:val="24"/>
        <w:szCs w:val="24"/>
        <w:lang w:eastAsia="en-GB"/>
      </w:rPr>
      <w:t>eeting of the GP Subcommittee</w:t>
    </w:r>
    <w:r>
      <w:rPr>
        <w:rFonts w:eastAsia="Calibri" w:cstheme="minorHAnsi"/>
        <w:b/>
        <w:sz w:val="24"/>
        <w:szCs w:val="24"/>
        <w:lang w:eastAsia="en-GB"/>
      </w:rPr>
      <w:t xml:space="preserve"> </w:t>
    </w:r>
  </w:p>
  <w:p w14:paraId="00F33AAA" w14:textId="1B29F742" w:rsidR="007B7C25" w:rsidRPr="00C0549F" w:rsidRDefault="007B7C25" w:rsidP="00C0549F">
    <w:pPr>
      <w:jc w:val="center"/>
      <w:rPr>
        <w:rFonts w:cstheme="minorHAnsi"/>
        <w:b/>
      </w:rPr>
    </w:pPr>
    <w:r w:rsidRPr="00C0549F">
      <w:rPr>
        <w:rFonts w:eastAsia="Calibri" w:cstheme="minorHAnsi"/>
        <w:b/>
        <w:sz w:val="24"/>
        <w:szCs w:val="24"/>
        <w:lang w:eastAsia="en-GB"/>
      </w:rPr>
      <w:t>on Mo</w:t>
    </w:r>
    <w:r>
      <w:rPr>
        <w:rFonts w:eastAsia="Calibri" w:cstheme="minorHAnsi"/>
        <w:b/>
        <w:sz w:val="24"/>
        <w:szCs w:val="24"/>
        <w:lang w:eastAsia="en-GB"/>
      </w:rPr>
      <w:t xml:space="preserve">nday, </w:t>
    </w:r>
    <w:r w:rsidR="00B41309">
      <w:rPr>
        <w:rFonts w:eastAsia="Calibri" w:cstheme="minorHAnsi"/>
        <w:b/>
        <w:sz w:val="24"/>
        <w:szCs w:val="24"/>
        <w:lang w:eastAsia="en-GB"/>
      </w:rPr>
      <w:t>22</w:t>
    </w:r>
    <w:r w:rsidR="00B41309" w:rsidRPr="00B41309">
      <w:rPr>
        <w:rFonts w:eastAsia="Calibri" w:cstheme="minorHAnsi"/>
        <w:b/>
        <w:sz w:val="24"/>
        <w:szCs w:val="24"/>
        <w:vertAlign w:val="superscript"/>
        <w:lang w:eastAsia="en-GB"/>
      </w:rPr>
      <w:t>nd</w:t>
    </w:r>
    <w:r w:rsidR="00B41309">
      <w:rPr>
        <w:rFonts w:eastAsia="Calibri" w:cstheme="minorHAnsi"/>
        <w:b/>
        <w:sz w:val="24"/>
        <w:szCs w:val="24"/>
        <w:lang w:eastAsia="en-GB"/>
      </w:rPr>
      <w:t xml:space="preserve"> June</w:t>
    </w:r>
    <w:r w:rsidR="007F319C">
      <w:rPr>
        <w:rFonts w:eastAsia="Calibri" w:cstheme="minorHAnsi"/>
        <w:b/>
        <w:sz w:val="24"/>
        <w:szCs w:val="24"/>
        <w:lang w:eastAsia="en-GB"/>
      </w:rPr>
      <w:t xml:space="preserve"> </w:t>
    </w:r>
    <w:r>
      <w:rPr>
        <w:rFonts w:eastAsia="Calibri" w:cstheme="minorHAnsi"/>
        <w:b/>
        <w:sz w:val="24"/>
        <w:szCs w:val="24"/>
        <w:lang w:eastAsia="en-GB"/>
      </w:rPr>
      <w:t>2026 at 7.30pm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A778D"/>
    <w:multiLevelType w:val="hybridMultilevel"/>
    <w:tmpl w:val="806AC6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E480C9F"/>
    <w:multiLevelType w:val="hybridMultilevel"/>
    <w:tmpl w:val="1A243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1">
      <w:start w:val="1"/>
      <w:numFmt w:val="bullet"/>
      <w:lvlText w:val=""/>
      <w:lvlJc w:val="left"/>
      <w:pPr>
        <w:ind w:left="72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386486"/>
    <w:multiLevelType w:val="hybridMultilevel"/>
    <w:tmpl w:val="6A1C3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AC2634"/>
    <w:multiLevelType w:val="hybridMultilevel"/>
    <w:tmpl w:val="22C061B0"/>
    <w:lvl w:ilvl="0" w:tplc="08090001">
      <w:start w:val="1"/>
      <w:numFmt w:val="bullet"/>
      <w:lvlText w:val=""/>
      <w:lvlJc w:val="left"/>
      <w:pPr>
        <w:ind w:left="2880" w:hanging="360"/>
      </w:pPr>
      <w:rPr>
        <w:rFonts w:ascii="Symbol" w:hAnsi="Symbol" w:hint="default"/>
        <w:b/>
        <w:bCs/>
        <w:i w:val="0"/>
        <w:iCs w:val="0"/>
      </w:rPr>
    </w:lvl>
    <w:lvl w:ilvl="1" w:tplc="FFFFFFFF">
      <w:start w:val="1"/>
      <w:numFmt w:val="decimal"/>
      <w:lvlText w:val="%2."/>
      <w:lvlJc w:val="left"/>
      <w:pPr>
        <w:ind w:left="5040" w:hanging="360"/>
      </w:pPr>
      <w:rPr>
        <w:rFonts w:hint="default"/>
        <w:b w:val="0"/>
        <w:bCs w:val="0"/>
        <w:i w:val="0"/>
        <w:iCs w:val="0"/>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rPr>
        <w:b w:val="0"/>
        <w:bCs w:val="0"/>
        <w:i w:val="0"/>
        <w:i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rPr>
        <w:b w:val="0"/>
        <w:bCs w:val="0"/>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946803"/>
    <w:multiLevelType w:val="hybridMultilevel"/>
    <w:tmpl w:val="8FCC2DEE"/>
    <w:lvl w:ilvl="0" w:tplc="ACDE56AE">
      <w:start w:val="1"/>
      <w:numFmt w:val="decimal"/>
      <w:lvlText w:val="%1."/>
      <w:lvlJc w:val="left"/>
      <w:pPr>
        <w:ind w:left="2880" w:hanging="360"/>
      </w:pPr>
      <w:rPr>
        <w:b w:val="0"/>
        <w:bCs w:val="0"/>
      </w:rPr>
    </w:lvl>
    <w:lvl w:ilvl="1" w:tplc="08090019" w:tentative="1">
      <w:start w:val="1"/>
      <w:numFmt w:val="lowerLetter"/>
      <w:lvlText w:val="%2."/>
      <w:lvlJc w:val="left"/>
      <w:pPr>
        <w:ind w:left="3600" w:hanging="360"/>
      </w:pPr>
    </w:lvl>
    <w:lvl w:ilvl="2" w:tplc="0809001B">
      <w:start w:val="1"/>
      <w:numFmt w:val="lowerRoman"/>
      <w:lvlText w:val="%3."/>
      <w:lvlJc w:val="right"/>
      <w:pPr>
        <w:ind w:left="4320" w:hanging="180"/>
      </w:pPr>
    </w:lvl>
    <w:lvl w:ilvl="3" w:tplc="3890431C">
      <w:start w:val="1"/>
      <w:numFmt w:val="decimal"/>
      <w:lvlText w:val="%4."/>
      <w:lvlJc w:val="left"/>
      <w:pPr>
        <w:ind w:left="5040" w:hanging="360"/>
      </w:pPr>
      <w:rPr>
        <w:b w:val="0"/>
        <w:bCs w:val="0"/>
        <w:i w:val="0"/>
        <w:iCs w:val="0"/>
      </w:rPr>
    </w:lvl>
    <w:lvl w:ilvl="4" w:tplc="08090001">
      <w:start w:val="1"/>
      <w:numFmt w:val="bullet"/>
      <w:lvlText w:val=""/>
      <w:lvlJc w:val="left"/>
      <w:pPr>
        <w:ind w:left="5760" w:hanging="360"/>
      </w:pPr>
      <w:rPr>
        <w:rFonts w:ascii="Symbol" w:hAnsi="Symbol" w:hint="default"/>
      </w:rPr>
    </w:lvl>
    <w:lvl w:ilvl="5" w:tplc="0809001B">
      <w:start w:val="1"/>
      <w:numFmt w:val="lowerRoman"/>
      <w:lvlText w:val="%6."/>
      <w:lvlJc w:val="right"/>
      <w:pPr>
        <w:ind w:left="6480" w:hanging="180"/>
      </w:pPr>
    </w:lvl>
    <w:lvl w:ilvl="6" w:tplc="69C07BA2">
      <w:start w:val="1"/>
      <w:numFmt w:val="decimal"/>
      <w:lvlText w:val="%7."/>
      <w:lvlJc w:val="left"/>
      <w:pPr>
        <w:ind w:left="7200" w:hanging="360"/>
      </w:pPr>
      <w:rPr>
        <w:i w:val="0"/>
        <w:iCs w:val="0"/>
      </w:rPr>
    </w:lvl>
    <w:lvl w:ilvl="7" w:tplc="08090019" w:tentative="1">
      <w:start w:val="1"/>
      <w:numFmt w:val="lowerLetter"/>
      <w:lvlText w:val="%8."/>
      <w:lvlJc w:val="left"/>
      <w:pPr>
        <w:ind w:left="7920" w:hanging="360"/>
      </w:pPr>
    </w:lvl>
    <w:lvl w:ilvl="8" w:tplc="0809001B">
      <w:start w:val="1"/>
      <w:numFmt w:val="lowerRoman"/>
      <w:lvlText w:val="%9."/>
      <w:lvlJc w:val="right"/>
      <w:pPr>
        <w:ind w:left="8640" w:hanging="180"/>
      </w:pPr>
    </w:lvl>
  </w:abstractNum>
  <w:abstractNum w:abstractNumId="5" w15:restartNumberingAfterBreak="0">
    <w:nsid w:val="175C4880"/>
    <w:multiLevelType w:val="hybridMultilevel"/>
    <w:tmpl w:val="30A6A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EE3076"/>
    <w:multiLevelType w:val="hybridMultilevel"/>
    <w:tmpl w:val="6A1C3C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91481A"/>
    <w:multiLevelType w:val="hybridMultilevel"/>
    <w:tmpl w:val="F3BCF418"/>
    <w:lvl w:ilvl="0" w:tplc="CB40DB80">
      <w:start w:val="2"/>
      <w:numFmt w:val="decimal"/>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594ED2"/>
    <w:multiLevelType w:val="hybridMultilevel"/>
    <w:tmpl w:val="6F0EC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A204AC"/>
    <w:multiLevelType w:val="hybridMultilevel"/>
    <w:tmpl w:val="E6A2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DB5E63"/>
    <w:multiLevelType w:val="hybridMultilevel"/>
    <w:tmpl w:val="D5DA9DBC"/>
    <w:lvl w:ilvl="0" w:tplc="A128FBA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B3651C"/>
    <w:multiLevelType w:val="hybridMultilevel"/>
    <w:tmpl w:val="5A6C7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D86383"/>
    <w:multiLevelType w:val="hybridMultilevel"/>
    <w:tmpl w:val="B7861E3E"/>
    <w:lvl w:ilvl="0" w:tplc="0809000F">
      <w:start w:val="1"/>
      <w:numFmt w:val="decimal"/>
      <w:lvlText w:val="%1."/>
      <w:lvlJc w:val="left"/>
      <w:pPr>
        <w:ind w:left="720" w:hanging="360"/>
      </w:pPr>
    </w:lvl>
    <w:lvl w:ilvl="1" w:tplc="08090001">
      <w:start w:val="1"/>
      <w:numFmt w:val="bullet"/>
      <w:lvlText w:val=""/>
      <w:lvlJc w:val="left"/>
      <w:pPr>
        <w:ind w:left="288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680CAE"/>
    <w:multiLevelType w:val="hybridMultilevel"/>
    <w:tmpl w:val="D03C11EA"/>
    <w:lvl w:ilvl="0" w:tplc="A6C68EA4">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1">
      <w:start w:val="1"/>
      <w:numFmt w:val="bullet"/>
      <w:lvlText w:val=""/>
      <w:lvlJc w:val="left"/>
      <w:pPr>
        <w:ind w:left="72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325EED"/>
    <w:multiLevelType w:val="hybridMultilevel"/>
    <w:tmpl w:val="DE249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DA33BE"/>
    <w:multiLevelType w:val="hybridMultilevel"/>
    <w:tmpl w:val="2FECF604"/>
    <w:lvl w:ilvl="0" w:tplc="90B62C78">
      <w:start w:val="3"/>
      <w:numFmt w:val="decimal"/>
      <w:lvlText w:val="%1."/>
      <w:lvlJc w:val="left"/>
      <w:pPr>
        <w:ind w:left="720" w:hanging="360"/>
      </w:pPr>
      <w:rPr>
        <w:rFonts w:hint="default"/>
        <w:b/>
        <w:bCs/>
      </w:rPr>
    </w:lvl>
    <w:lvl w:ilvl="1" w:tplc="F98AB340">
      <w:start w:val="1"/>
      <w:numFmt w:val="decimal"/>
      <w:lvlText w:val="%2."/>
      <w:lvlJc w:val="left"/>
      <w:pPr>
        <w:ind w:left="720" w:hanging="360"/>
      </w:pPr>
      <w:rPr>
        <w:b w:val="0"/>
        <w:bCs w:val="0"/>
      </w:rPr>
    </w:lvl>
    <w:lvl w:ilvl="2" w:tplc="FFFFFFFF">
      <w:start w:val="1"/>
      <w:numFmt w:val="lowerRoman"/>
      <w:lvlText w:val="%3."/>
      <w:lvlJc w:val="right"/>
      <w:pPr>
        <w:ind w:left="2160" w:hanging="180"/>
      </w:pPr>
    </w:lvl>
    <w:lvl w:ilvl="3" w:tplc="AD367DBC">
      <w:start w:val="1"/>
      <w:numFmt w:val="decimal"/>
      <w:lvlText w:val="%4."/>
      <w:lvlJc w:val="left"/>
      <w:pPr>
        <w:ind w:left="2880" w:hanging="360"/>
      </w:pPr>
      <w:rPr>
        <w:b w:val="0"/>
        <w:bCs w:val="0"/>
      </w:rPr>
    </w:lvl>
    <w:lvl w:ilvl="4" w:tplc="08090001">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start w:val="1"/>
      <w:numFmt w:val="decimal"/>
      <w:lvlText w:val="%7."/>
      <w:lvlJc w:val="left"/>
      <w:pPr>
        <w:ind w:left="5040" w:hanging="360"/>
      </w:pPr>
      <w:rPr>
        <w:rFonts w:hint="default"/>
        <w:b/>
        <w:bCs/>
      </w:rPr>
    </w:lvl>
    <w:lvl w:ilvl="7" w:tplc="FFFFFFFF">
      <w:start w:val="1"/>
      <w:numFmt w:val="lowerLetter"/>
      <w:lvlText w:val="%8."/>
      <w:lvlJc w:val="left"/>
      <w:pPr>
        <w:ind w:left="5760" w:hanging="360"/>
      </w:pPr>
    </w:lvl>
    <w:lvl w:ilvl="8" w:tplc="08090001">
      <w:start w:val="1"/>
      <w:numFmt w:val="bullet"/>
      <w:lvlText w:val=""/>
      <w:lvlJc w:val="left"/>
      <w:pPr>
        <w:ind w:left="720" w:hanging="360"/>
      </w:pPr>
      <w:rPr>
        <w:rFonts w:ascii="Symbol" w:hAnsi="Symbol" w:hint="default"/>
      </w:rPr>
    </w:lvl>
  </w:abstractNum>
  <w:abstractNum w:abstractNumId="16" w15:restartNumberingAfterBreak="0">
    <w:nsid w:val="3C5016D8"/>
    <w:multiLevelType w:val="hybridMultilevel"/>
    <w:tmpl w:val="158C0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792A09"/>
    <w:multiLevelType w:val="hybridMultilevel"/>
    <w:tmpl w:val="9158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8502CE"/>
    <w:multiLevelType w:val="hybridMultilevel"/>
    <w:tmpl w:val="52EC8392"/>
    <w:lvl w:ilvl="0" w:tplc="76D2CE22">
      <w:start w:val="1"/>
      <w:numFmt w:val="decimal"/>
      <w:lvlText w:val="%1."/>
      <w:lvlJc w:val="left"/>
      <w:pPr>
        <w:ind w:left="2880" w:hanging="360"/>
      </w:pPr>
      <w:rPr>
        <w:rFonts w:hint="default"/>
        <w:b w:val="0"/>
        <w:bCs w:val="0"/>
        <w:i w:val="0"/>
        <w:iCs w:val="0"/>
      </w:rPr>
    </w:lvl>
    <w:lvl w:ilvl="1" w:tplc="3CDC152C">
      <w:start w:val="1"/>
      <w:numFmt w:val="decimal"/>
      <w:lvlText w:val="%2."/>
      <w:lvlJc w:val="left"/>
      <w:pPr>
        <w:ind w:left="4471" w:hanging="360"/>
      </w:pPr>
      <w:rPr>
        <w:rFonts w:hint="default"/>
      </w:rPr>
    </w:lvl>
    <w:lvl w:ilvl="2" w:tplc="388A725E">
      <w:start w:val="1"/>
      <w:numFmt w:val="decimal"/>
      <w:lvlText w:val="%3."/>
      <w:lvlJc w:val="left"/>
      <w:pPr>
        <w:ind w:left="720" w:hanging="360"/>
      </w:pPr>
      <w:rPr>
        <w:rFonts w:hint="default"/>
        <w:b w:val="0"/>
        <w:bCs w:val="0"/>
      </w:rPr>
    </w:lvl>
    <w:lvl w:ilvl="3" w:tplc="08090001">
      <w:start w:val="1"/>
      <w:numFmt w:val="bullet"/>
      <w:lvlText w:val=""/>
      <w:lvlJc w:val="left"/>
      <w:pPr>
        <w:ind w:left="5760" w:hanging="360"/>
      </w:pPr>
      <w:rPr>
        <w:rFonts w:ascii="Symbol" w:hAnsi="Symbol" w:hint="default"/>
      </w:rPr>
    </w:lvl>
    <w:lvl w:ilvl="4" w:tplc="08090001">
      <w:start w:val="1"/>
      <w:numFmt w:val="bullet"/>
      <w:lvlText w:val=""/>
      <w:lvlJc w:val="left"/>
      <w:pPr>
        <w:ind w:left="5760" w:hanging="360"/>
      </w:pPr>
      <w:rPr>
        <w:rFonts w:ascii="Symbol" w:hAnsi="Symbol" w:hint="default"/>
      </w:rPr>
    </w:lvl>
    <w:lvl w:ilvl="5" w:tplc="0809001B">
      <w:start w:val="1"/>
      <w:numFmt w:val="lowerRoman"/>
      <w:lvlText w:val="%6."/>
      <w:lvlJc w:val="right"/>
      <w:pPr>
        <w:ind w:left="4320" w:hanging="180"/>
      </w:pPr>
    </w:lvl>
    <w:lvl w:ilvl="6" w:tplc="6D2002B6">
      <w:start w:val="1"/>
      <w:numFmt w:val="decimal"/>
      <w:lvlText w:val="%7."/>
      <w:lvlJc w:val="left"/>
      <w:pPr>
        <w:ind w:left="5040" w:hanging="360"/>
      </w:pPr>
      <w:rPr>
        <w:b w:val="0"/>
        <w:bCs w:val="0"/>
      </w:rPr>
    </w:lvl>
    <w:lvl w:ilvl="7" w:tplc="08090001">
      <w:start w:val="1"/>
      <w:numFmt w:val="bullet"/>
      <w:lvlText w:val=""/>
      <w:lvlJc w:val="left"/>
      <w:pPr>
        <w:ind w:left="5760" w:hanging="360"/>
      </w:pPr>
      <w:rPr>
        <w:rFonts w:ascii="Symbol" w:hAnsi="Symbol" w:hint="default"/>
      </w:rPr>
    </w:lvl>
    <w:lvl w:ilvl="8" w:tplc="6E32D784">
      <w:start w:val="1"/>
      <w:numFmt w:val="decimal"/>
      <w:lvlText w:val="%9."/>
      <w:lvlJc w:val="left"/>
      <w:pPr>
        <w:ind w:left="6660" w:hanging="360"/>
      </w:pPr>
      <w:rPr>
        <w:rFonts w:hint="default"/>
        <w:b w:val="0"/>
        <w:bCs w:val="0"/>
      </w:rPr>
    </w:lvl>
  </w:abstractNum>
  <w:abstractNum w:abstractNumId="19" w15:restartNumberingAfterBreak="0">
    <w:nsid w:val="3CB51F98"/>
    <w:multiLevelType w:val="hybridMultilevel"/>
    <w:tmpl w:val="C7B6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4118AA"/>
    <w:multiLevelType w:val="hybridMultilevel"/>
    <w:tmpl w:val="F446E9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337484B"/>
    <w:multiLevelType w:val="hybridMultilevel"/>
    <w:tmpl w:val="4760A09A"/>
    <w:lvl w:ilvl="0" w:tplc="FFFFFFF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49135F3"/>
    <w:multiLevelType w:val="hybridMultilevel"/>
    <w:tmpl w:val="532C2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BB4658"/>
    <w:multiLevelType w:val="hybridMultilevel"/>
    <w:tmpl w:val="21F4E4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B9A27FC"/>
    <w:multiLevelType w:val="hybridMultilevel"/>
    <w:tmpl w:val="4D0677F8"/>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5" w15:restartNumberingAfterBreak="0">
    <w:nsid w:val="4D2D699E"/>
    <w:multiLevelType w:val="hybridMultilevel"/>
    <w:tmpl w:val="FEC681E6"/>
    <w:lvl w:ilvl="0" w:tplc="08090001">
      <w:start w:val="1"/>
      <w:numFmt w:val="bullet"/>
      <w:lvlText w:val=""/>
      <w:lvlJc w:val="left"/>
      <w:pPr>
        <w:ind w:left="720" w:hanging="360"/>
      </w:pPr>
      <w:rPr>
        <w:rFonts w:ascii="Symbol" w:hAnsi="Symbol" w:hint="default"/>
      </w:rPr>
    </w:lvl>
    <w:lvl w:ilvl="1" w:tplc="E7CC0164">
      <w:numFmt w:val="bullet"/>
      <w:lvlText w:val="•"/>
      <w:lvlJc w:val="left"/>
      <w:pPr>
        <w:ind w:left="1440" w:hanging="360"/>
      </w:pPr>
      <w:rPr>
        <w:rFonts w:ascii="Calibri" w:eastAsiaTheme="minorHAnsi" w:hAnsi="Calibri" w:cs="Calibri"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74004C"/>
    <w:multiLevelType w:val="hybridMultilevel"/>
    <w:tmpl w:val="D5E8CCB0"/>
    <w:lvl w:ilvl="0" w:tplc="0809000F">
      <w:start w:val="1"/>
      <w:numFmt w:val="decimal"/>
      <w:lvlText w:val="%1."/>
      <w:lvlJc w:val="left"/>
      <w:pPr>
        <w:ind w:left="720" w:hanging="360"/>
      </w:pPr>
      <w:rPr>
        <w:rFonts w:hint="default"/>
        <w:b/>
        <w:bCs/>
      </w:rPr>
    </w:lvl>
    <w:lvl w:ilvl="1" w:tplc="F4B8E298">
      <w:start w:val="1"/>
      <w:numFmt w:val="decimal"/>
      <w:lvlText w:val="%2."/>
      <w:lvlJc w:val="left"/>
      <w:pPr>
        <w:ind w:left="1440" w:hanging="360"/>
      </w:pPr>
      <w:rPr>
        <w:b w:val="0"/>
        <w:bCs w:val="0"/>
      </w:rPr>
    </w:lvl>
    <w:lvl w:ilvl="2" w:tplc="08090001">
      <w:start w:val="1"/>
      <w:numFmt w:val="bullet"/>
      <w:lvlText w:val=""/>
      <w:lvlJc w:val="left"/>
      <w:pPr>
        <w:ind w:left="720" w:hanging="360"/>
      </w:pPr>
      <w:rPr>
        <w:rFonts w:ascii="Symbol" w:hAnsi="Symbol" w:hint="default"/>
      </w:rPr>
    </w:lvl>
    <w:lvl w:ilvl="3" w:tplc="35A2F4F6">
      <w:start w:val="1"/>
      <w:numFmt w:val="decimal"/>
      <w:lvlText w:val="%4."/>
      <w:lvlJc w:val="left"/>
      <w:pPr>
        <w:ind w:left="2880" w:hanging="360"/>
      </w:pPr>
      <w:rPr>
        <w:rFonts w:hint="default"/>
        <w:b w:val="0"/>
        <w:bCs w:val="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C360CC76">
      <w:start w:val="1"/>
      <w:numFmt w:val="decimal"/>
      <w:lvlText w:val="%7."/>
      <w:lvlJc w:val="left"/>
      <w:pPr>
        <w:ind w:left="5040" w:hanging="360"/>
      </w:pPr>
      <w:rPr>
        <w:rFonts w:hint="default"/>
        <w:b/>
        <w:bCs/>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8F6AC6"/>
    <w:multiLevelType w:val="hybridMultilevel"/>
    <w:tmpl w:val="9E302332"/>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F953A28"/>
    <w:multiLevelType w:val="hybridMultilevel"/>
    <w:tmpl w:val="0D34E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0E6410"/>
    <w:multiLevelType w:val="hybridMultilevel"/>
    <w:tmpl w:val="DA6E2748"/>
    <w:lvl w:ilvl="0" w:tplc="08090001">
      <w:start w:val="1"/>
      <w:numFmt w:val="bullet"/>
      <w:lvlText w:val=""/>
      <w:lvlJc w:val="left"/>
      <w:pPr>
        <w:ind w:left="2880" w:hanging="360"/>
      </w:pPr>
      <w:rPr>
        <w:rFonts w:ascii="Symbol" w:hAnsi="Symbo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168542C"/>
    <w:multiLevelType w:val="hybridMultilevel"/>
    <w:tmpl w:val="BDD0573C"/>
    <w:styleLink w:val="ImportedStyle68"/>
    <w:lvl w:ilvl="0" w:tplc="0AD29FC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6C6C5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39AB56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170648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9491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8229E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CE6768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D60716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14229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581912AE"/>
    <w:multiLevelType w:val="hybridMultilevel"/>
    <w:tmpl w:val="ADB20D80"/>
    <w:lvl w:ilvl="0" w:tplc="A1DE563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4F4179"/>
    <w:multiLevelType w:val="hybridMultilevel"/>
    <w:tmpl w:val="ADB20D80"/>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136E88"/>
    <w:multiLevelType w:val="hybridMultilevel"/>
    <w:tmpl w:val="EE527DB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AC6594"/>
    <w:multiLevelType w:val="hybridMultilevel"/>
    <w:tmpl w:val="66AC3248"/>
    <w:lvl w:ilvl="0" w:tplc="7FDCBCCC">
      <w:start w:val="1"/>
      <w:numFmt w:val="decimal"/>
      <w:lvlText w:val="%1."/>
      <w:lvlJc w:val="left"/>
      <w:pPr>
        <w:ind w:left="288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62B45B51"/>
    <w:multiLevelType w:val="hybridMultilevel"/>
    <w:tmpl w:val="89BEE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D6215F1"/>
    <w:multiLevelType w:val="hybridMultilevel"/>
    <w:tmpl w:val="E0D29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7418A6"/>
    <w:multiLevelType w:val="hybridMultilevel"/>
    <w:tmpl w:val="746CBBEE"/>
    <w:lvl w:ilvl="0" w:tplc="388A725E">
      <w:start w:val="1"/>
      <w:numFmt w:val="decimal"/>
      <w:lvlText w:val="%1."/>
      <w:lvlJc w:val="left"/>
      <w:pPr>
        <w:ind w:left="4471"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9334A6"/>
    <w:multiLevelType w:val="hybridMultilevel"/>
    <w:tmpl w:val="C3AE906A"/>
    <w:lvl w:ilvl="0" w:tplc="A1DE5638">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8090001">
      <w:start w:val="1"/>
      <w:numFmt w:val="bullet"/>
      <w:lvlText w:val=""/>
      <w:lvlJc w:val="left"/>
      <w:pPr>
        <w:ind w:left="1080" w:hanging="360"/>
      </w:pPr>
      <w:rPr>
        <w:rFonts w:ascii="Symbol" w:hAnsi="Symbol" w:hint="default"/>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56A26DA"/>
    <w:multiLevelType w:val="hybridMultilevel"/>
    <w:tmpl w:val="436AA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040AC6"/>
    <w:multiLevelType w:val="hybridMultilevel"/>
    <w:tmpl w:val="0FB4C96C"/>
    <w:lvl w:ilvl="0" w:tplc="388A725E">
      <w:start w:val="1"/>
      <w:numFmt w:val="decimal"/>
      <w:lvlText w:val="%1."/>
      <w:lvlJc w:val="left"/>
      <w:pPr>
        <w:ind w:left="720" w:hanging="360"/>
      </w:pPr>
      <w:rPr>
        <w:rFonts w:hint="default"/>
        <w:b w:val="0"/>
        <w:bCs w:val="0"/>
      </w:rPr>
    </w:lvl>
    <w:lvl w:ilvl="1" w:tplc="08090019" w:tentative="1">
      <w:start w:val="1"/>
      <w:numFmt w:val="lowerLetter"/>
      <w:lvlText w:val="%2."/>
      <w:lvlJc w:val="left"/>
      <w:pPr>
        <w:ind w:left="-2311" w:hanging="360"/>
      </w:pPr>
    </w:lvl>
    <w:lvl w:ilvl="2" w:tplc="0809001B" w:tentative="1">
      <w:start w:val="1"/>
      <w:numFmt w:val="lowerRoman"/>
      <w:lvlText w:val="%3."/>
      <w:lvlJc w:val="right"/>
      <w:pPr>
        <w:ind w:left="-1591" w:hanging="180"/>
      </w:pPr>
    </w:lvl>
    <w:lvl w:ilvl="3" w:tplc="0809000F" w:tentative="1">
      <w:start w:val="1"/>
      <w:numFmt w:val="decimal"/>
      <w:lvlText w:val="%4."/>
      <w:lvlJc w:val="left"/>
      <w:pPr>
        <w:ind w:left="-871" w:hanging="360"/>
      </w:pPr>
    </w:lvl>
    <w:lvl w:ilvl="4" w:tplc="08090019" w:tentative="1">
      <w:start w:val="1"/>
      <w:numFmt w:val="lowerLetter"/>
      <w:lvlText w:val="%5."/>
      <w:lvlJc w:val="left"/>
      <w:pPr>
        <w:ind w:left="-151" w:hanging="360"/>
      </w:pPr>
    </w:lvl>
    <w:lvl w:ilvl="5" w:tplc="0809001B" w:tentative="1">
      <w:start w:val="1"/>
      <w:numFmt w:val="lowerRoman"/>
      <w:lvlText w:val="%6."/>
      <w:lvlJc w:val="right"/>
      <w:pPr>
        <w:ind w:left="569" w:hanging="180"/>
      </w:pPr>
    </w:lvl>
    <w:lvl w:ilvl="6" w:tplc="0809000F" w:tentative="1">
      <w:start w:val="1"/>
      <w:numFmt w:val="decimal"/>
      <w:lvlText w:val="%7."/>
      <w:lvlJc w:val="left"/>
      <w:pPr>
        <w:ind w:left="1289" w:hanging="360"/>
      </w:pPr>
    </w:lvl>
    <w:lvl w:ilvl="7" w:tplc="08090019" w:tentative="1">
      <w:start w:val="1"/>
      <w:numFmt w:val="lowerLetter"/>
      <w:lvlText w:val="%8."/>
      <w:lvlJc w:val="left"/>
      <w:pPr>
        <w:ind w:left="2009" w:hanging="360"/>
      </w:pPr>
    </w:lvl>
    <w:lvl w:ilvl="8" w:tplc="0809001B" w:tentative="1">
      <w:start w:val="1"/>
      <w:numFmt w:val="lowerRoman"/>
      <w:lvlText w:val="%9."/>
      <w:lvlJc w:val="right"/>
      <w:pPr>
        <w:ind w:left="2729" w:hanging="180"/>
      </w:pPr>
    </w:lvl>
  </w:abstractNum>
  <w:num w:numId="1">
    <w:abstractNumId w:val="23"/>
  </w:num>
  <w:num w:numId="2">
    <w:abstractNumId w:val="4"/>
  </w:num>
  <w:num w:numId="3">
    <w:abstractNumId w:val="25"/>
  </w:num>
  <w:num w:numId="4">
    <w:abstractNumId w:val="18"/>
  </w:num>
  <w:num w:numId="5">
    <w:abstractNumId w:val="3"/>
  </w:num>
  <w:num w:numId="6">
    <w:abstractNumId w:val="30"/>
  </w:num>
  <w:num w:numId="7">
    <w:abstractNumId w:val="0"/>
  </w:num>
  <w:num w:numId="8">
    <w:abstractNumId w:val="15"/>
  </w:num>
  <w:num w:numId="9">
    <w:abstractNumId w:val="5"/>
  </w:num>
  <w:num w:numId="10">
    <w:abstractNumId w:val="20"/>
  </w:num>
  <w:num w:numId="11">
    <w:abstractNumId w:val="2"/>
  </w:num>
  <w:num w:numId="12">
    <w:abstractNumId w:val="14"/>
  </w:num>
  <w:num w:numId="13">
    <w:abstractNumId w:val="37"/>
  </w:num>
  <w:num w:numId="14">
    <w:abstractNumId w:val="40"/>
  </w:num>
  <w:num w:numId="15">
    <w:abstractNumId w:val="33"/>
  </w:num>
  <w:num w:numId="16">
    <w:abstractNumId w:val="7"/>
  </w:num>
  <w:num w:numId="17">
    <w:abstractNumId w:val="28"/>
  </w:num>
  <w:num w:numId="18">
    <w:abstractNumId w:val="6"/>
  </w:num>
  <w:num w:numId="19">
    <w:abstractNumId w:val="21"/>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19"/>
  </w:num>
  <w:num w:numId="23">
    <w:abstractNumId w:val="24"/>
  </w:num>
  <w:num w:numId="24">
    <w:abstractNumId w:val="26"/>
  </w:num>
  <w:num w:numId="25">
    <w:abstractNumId w:val="11"/>
  </w:num>
  <w:num w:numId="26">
    <w:abstractNumId w:val="1"/>
  </w:num>
  <w:num w:numId="27">
    <w:abstractNumId w:val="17"/>
  </w:num>
  <w:num w:numId="28">
    <w:abstractNumId w:val="13"/>
  </w:num>
  <w:num w:numId="29">
    <w:abstractNumId w:val="27"/>
  </w:num>
  <w:num w:numId="30">
    <w:abstractNumId w:val="16"/>
  </w:num>
  <w:num w:numId="31">
    <w:abstractNumId w:val="35"/>
  </w:num>
  <w:num w:numId="32">
    <w:abstractNumId w:val="10"/>
  </w:num>
  <w:num w:numId="33">
    <w:abstractNumId w:val="38"/>
  </w:num>
  <w:num w:numId="34">
    <w:abstractNumId w:val="12"/>
  </w:num>
  <w:num w:numId="35">
    <w:abstractNumId w:val="31"/>
  </w:num>
  <w:num w:numId="36">
    <w:abstractNumId w:val="39"/>
  </w:num>
  <w:num w:numId="37">
    <w:abstractNumId w:val="8"/>
  </w:num>
  <w:num w:numId="38">
    <w:abstractNumId w:val="32"/>
  </w:num>
  <w:num w:numId="39">
    <w:abstractNumId w:val="36"/>
  </w:num>
  <w:num w:numId="40">
    <w:abstractNumId w:val="22"/>
  </w:num>
  <w:num w:numId="41">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49F"/>
    <w:rsid w:val="000038EC"/>
    <w:rsid w:val="000041D9"/>
    <w:rsid w:val="00005402"/>
    <w:rsid w:val="00006239"/>
    <w:rsid w:val="0001191C"/>
    <w:rsid w:val="00011ED9"/>
    <w:rsid w:val="00017737"/>
    <w:rsid w:val="00020B48"/>
    <w:rsid w:val="00025A6D"/>
    <w:rsid w:val="00033426"/>
    <w:rsid w:val="00033BBE"/>
    <w:rsid w:val="000340DA"/>
    <w:rsid w:val="00034F6A"/>
    <w:rsid w:val="00037793"/>
    <w:rsid w:val="000404B3"/>
    <w:rsid w:val="000406D4"/>
    <w:rsid w:val="00040AD3"/>
    <w:rsid w:val="0005583F"/>
    <w:rsid w:val="000573CA"/>
    <w:rsid w:val="00057FBB"/>
    <w:rsid w:val="000620CE"/>
    <w:rsid w:val="00062C32"/>
    <w:rsid w:val="00063BF1"/>
    <w:rsid w:val="00064D00"/>
    <w:rsid w:val="0006589C"/>
    <w:rsid w:val="00073329"/>
    <w:rsid w:val="00074A5D"/>
    <w:rsid w:val="0007760F"/>
    <w:rsid w:val="00080391"/>
    <w:rsid w:val="00081D8B"/>
    <w:rsid w:val="00086D6D"/>
    <w:rsid w:val="0008798E"/>
    <w:rsid w:val="00095D8C"/>
    <w:rsid w:val="000969EF"/>
    <w:rsid w:val="00097F9A"/>
    <w:rsid w:val="000A1EB0"/>
    <w:rsid w:val="000A46A2"/>
    <w:rsid w:val="000A65EB"/>
    <w:rsid w:val="000A69F1"/>
    <w:rsid w:val="000A7816"/>
    <w:rsid w:val="000A7953"/>
    <w:rsid w:val="000A7DE9"/>
    <w:rsid w:val="000B16E8"/>
    <w:rsid w:val="000B1FFF"/>
    <w:rsid w:val="000B6468"/>
    <w:rsid w:val="000C1781"/>
    <w:rsid w:val="000C6B0F"/>
    <w:rsid w:val="000C72DC"/>
    <w:rsid w:val="000D0428"/>
    <w:rsid w:val="000D33C7"/>
    <w:rsid w:val="000D33F9"/>
    <w:rsid w:val="000D3C4A"/>
    <w:rsid w:val="000D5191"/>
    <w:rsid w:val="000D6184"/>
    <w:rsid w:val="000E05E3"/>
    <w:rsid w:val="000E1AE3"/>
    <w:rsid w:val="000E1C9B"/>
    <w:rsid w:val="000E227A"/>
    <w:rsid w:val="000E3ED5"/>
    <w:rsid w:val="000E4DD1"/>
    <w:rsid w:val="000E60E3"/>
    <w:rsid w:val="000E68F0"/>
    <w:rsid w:val="000E6C4D"/>
    <w:rsid w:val="000E70C7"/>
    <w:rsid w:val="000E789B"/>
    <w:rsid w:val="000F21EB"/>
    <w:rsid w:val="000F3C91"/>
    <w:rsid w:val="000F4250"/>
    <w:rsid w:val="000F7F52"/>
    <w:rsid w:val="00103BAE"/>
    <w:rsid w:val="0010581A"/>
    <w:rsid w:val="001058E8"/>
    <w:rsid w:val="001066B8"/>
    <w:rsid w:val="001104C3"/>
    <w:rsid w:val="001104DC"/>
    <w:rsid w:val="00112C0D"/>
    <w:rsid w:val="00117160"/>
    <w:rsid w:val="00117EF2"/>
    <w:rsid w:val="00121E11"/>
    <w:rsid w:val="00125519"/>
    <w:rsid w:val="00126486"/>
    <w:rsid w:val="001269C3"/>
    <w:rsid w:val="00126DB8"/>
    <w:rsid w:val="00131FE9"/>
    <w:rsid w:val="001340AA"/>
    <w:rsid w:val="00135BA6"/>
    <w:rsid w:val="001430B3"/>
    <w:rsid w:val="0014597F"/>
    <w:rsid w:val="0015077C"/>
    <w:rsid w:val="00151F32"/>
    <w:rsid w:val="001522CC"/>
    <w:rsid w:val="00153B3F"/>
    <w:rsid w:val="001550E5"/>
    <w:rsid w:val="00155DEC"/>
    <w:rsid w:val="001567C2"/>
    <w:rsid w:val="00156875"/>
    <w:rsid w:val="0015702D"/>
    <w:rsid w:val="00157F01"/>
    <w:rsid w:val="00162C35"/>
    <w:rsid w:val="00164E2C"/>
    <w:rsid w:val="0016505B"/>
    <w:rsid w:val="00166C36"/>
    <w:rsid w:val="00166F44"/>
    <w:rsid w:val="00167314"/>
    <w:rsid w:val="00167A85"/>
    <w:rsid w:val="001737F9"/>
    <w:rsid w:val="0017698A"/>
    <w:rsid w:val="001835C3"/>
    <w:rsid w:val="00183666"/>
    <w:rsid w:val="00184E67"/>
    <w:rsid w:val="00187741"/>
    <w:rsid w:val="0019556D"/>
    <w:rsid w:val="001A35A4"/>
    <w:rsid w:val="001B0792"/>
    <w:rsid w:val="001B42B7"/>
    <w:rsid w:val="001B4F52"/>
    <w:rsid w:val="001B5E68"/>
    <w:rsid w:val="001B7DAD"/>
    <w:rsid w:val="001C23BF"/>
    <w:rsid w:val="001C5AD0"/>
    <w:rsid w:val="001C79C4"/>
    <w:rsid w:val="001D0BDF"/>
    <w:rsid w:val="001D5867"/>
    <w:rsid w:val="001D7E80"/>
    <w:rsid w:val="001E15AD"/>
    <w:rsid w:val="001E28DE"/>
    <w:rsid w:val="001E2DC4"/>
    <w:rsid w:val="001E359F"/>
    <w:rsid w:val="001E3BA5"/>
    <w:rsid w:val="001E54FA"/>
    <w:rsid w:val="001E5AED"/>
    <w:rsid w:val="001E672A"/>
    <w:rsid w:val="001E7266"/>
    <w:rsid w:val="001F324C"/>
    <w:rsid w:val="001F5209"/>
    <w:rsid w:val="001F745C"/>
    <w:rsid w:val="001F772D"/>
    <w:rsid w:val="0020057A"/>
    <w:rsid w:val="002013B5"/>
    <w:rsid w:val="00202A3B"/>
    <w:rsid w:val="0020485C"/>
    <w:rsid w:val="002074E4"/>
    <w:rsid w:val="0020756D"/>
    <w:rsid w:val="00207CF9"/>
    <w:rsid w:val="00214852"/>
    <w:rsid w:val="00215A38"/>
    <w:rsid w:val="00215A7D"/>
    <w:rsid w:val="00220495"/>
    <w:rsid w:val="00220C7F"/>
    <w:rsid w:val="00221E05"/>
    <w:rsid w:val="00223B21"/>
    <w:rsid w:val="00223BAB"/>
    <w:rsid w:val="00230544"/>
    <w:rsid w:val="00231158"/>
    <w:rsid w:val="002323BC"/>
    <w:rsid w:val="0023271C"/>
    <w:rsid w:val="0023280A"/>
    <w:rsid w:val="00233589"/>
    <w:rsid w:val="00234232"/>
    <w:rsid w:val="00234C4C"/>
    <w:rsid w:val="00237116"/>
    <w:rsid w:val="00237847"/>
    <w:rsid w:val="0024218C"/>
    <w:rsid w:val="00242868"/>
    <w:rsid w:val="002429F1"/>
    <w:rsid w:val="0024399A"/>
    <w:rsid w:val="002464E1"/>
    <w:rsid w:val="002507F9"/>
    <w:rsid w:val="00250BB9"/>
    <w:rsid w:val="00252326"/>
    <w:rsid w:val="002560AD"/>
    <w:rsid w:val="002604EE"/>
    <w:rsid w:val="00262276"/>
    <w:rsid w:val="002636E6"/>
    <w:rsid w:val="00266359"/>
    <w:rsid w:val="00267D2F"/>
    <w:rsid w:val="00267F19"/>
    <w:rsid w:val="0027031A"/>
    <w:rsid w:val="00270B08"/>
    <w:rsid w:val="00273456"/>
    <w:rsid w:val="00274C16"/>
    <w:rsid w:val="00274CDD"/>
    <w:rsid w:val="00280E13"/>
    <w:rsid w:val="00281C49"/>
    <w:rsid w:val="002839ED"/>
    <w:rsid w:val="00283F52"/>
    <w:rsid w:val="00286F6B"/>
    <w:rsid w:val="002905F2"/>
    <w:rsid w:val="00291DCD"/>
    <w:rsid w:val="00292843"/>
    <w:rsid w:val="00294A40"/>
    <w:rsid w:val="00295C89"/>
    <w:rsid w:val="002A118E"/>
    <w:rsid w:val="002A2048"/>
    <w:rsid w:val="002A3240"/>
    <w:rsid w:val="002A41DD"/>
    <w:rsid w:val="002A4D35"/>
    <w:rsid w:val="002A70C9"/>
    <w:rsid w:val="002A795C"/>
    <w:rsid w:val="002B04E7"/>
    <w:rsid w:val="002B124A"/>
    <w:rsid w:val="002B1D84"/>
    <w:rsid w:val="002B3D77"/>
    <w:rsid w:val="002B4A9D"/>
    <w:rsid w:val="002B74EC"/>
    <w:rsid w:val="002C0341"/>
    <w:rsid w:val="002C1B8B"/>
    <w:rsid w:val="002C25FF"/>
    <w:rsid w:val="002C35BA"/>
    <w:rsid w:val="002C3B65"/>
    <w:rsid w:val="002C52FA"/>
    <w:rsid w:val="002C67E7"/>
    <w:rsid w:val="002D0765"/>
    <w:rsid w:val="002D1451"/>
    <w:rsid w:val="002D1E63"/>
    <w:rsid w:val="002D3DD5"/>
    <w:rsid w:val="002D5C5D"/>
    <w:rsid w:val="002D65EF"/>
    <w:rsid w:val="002E2C5F"/>
    <w:rsid w:val="002E77CA"/>
    <w:rsid w:val="002E7A83"/>
    <w:rsid w:val="002F0655"/>
    <w:rsid w:val="002F12FD"/>
    <w:rsid w:val="002F13F2"/>
    <w:rsid w:val="002F5E74"/>
    <w:rsid w:val="002F6AE8"/>
    <w:rsid w:val="002F7A0F"/>
    <w:rsid w:val="00300516"/>
    <w:rsid w:val="003007F7"/>
    <w:rsid w:val="00301AA9"/>
    <w:rsid w:val="0031003F"/>
    <w:rsid w:val="00310EED"/>
    <w:rsid w:val="00315BE2"/>
    <w:rsid w:val="00315C43"/>
    <w:rsid w:val="00315EEB"/>
    <w:rsid w:val="00317036"/>
    <w:rsid w:val="003240CB"/>
    <w:rsid w:val="003242A3"/>
    <w:rsid w:val="0033055D"/>
    <w:rsid w:val="003359CC"/>
    <w:rsid w:val="003401B4"/>
    <w:rsid w:val="0034291C"/>
    <w:rsid w:val="00342F78"/>
    <w:rsid w:val="00343625"/>
    <w:rsid w:val="00343A2B"/>
    <w:rsid w:val="00345E7E"/>
    <w:rsid w:val="003512C8"/>
    <w:rsid w:val="0035324A"/>
    <w:rsid w:val="00353896"/>
    <w:rsid w:val="00355B7D"/>
    <w:rsid w:val="003561F7"/>
    <w:rsid w:val="00356386"/>
    <w:rsid w:val="00363BF9"/>
    <w:rsid w:val="003645B7"/>
    <w:rsid w:val="003647A9"/>
    <w:rsid w:val="003660EB"/>
    <w:rsid w:val="003679BE"/>
    <w:rsid w:val="00373745"/>
    <w:rsid w:val="00373831"/>
    <w:rsid w:val="00376C3E"/>
    <w:rsid w:val="003776F5"/>
    <w:rsid w:val="003815C2"/>
    <w:rsid w:val="00381C7D"/>
    <w:rsid w:val="003820DD"/>
    <w:rsid w:val="00383D26"/>
    <w:rsid w:val="00383DE9"/>
    <w:rsid w:val="00383ED8"/>
    <w:rsid w:val="00384190"/>
    <w:rsid w:val="00384F4C"/>
    <w:rsid w:val="00385F18"/>
    <w:rsid w:val="0038699B"/>
    <w:rsid w:val="00390997"/>
    <w:rsid w:val="0039202B"/>
    <w:rsid w:val="00394A61"/>
    <w:rsid w:val="003A0998"/>
    <w:rsid w:val="003A19F7"/>
    <w:rsid w:val="003A2BD2"/>
    <w:rsid w:val="003A33CE"/>
    <w:rsid w:val="003A4517"/>
    <w:rsid w:val="003A6FC8"/>
    <w:rsid w:val="003A706C"/>
    <w:rsid w:val="003A7399"/>
    <w:rsid w:val="003B1EA3"/>
    <w:rsid w:val="003B7C03"/>
    <w:rsid w:val="003C30D9"/>
    <w:rsid w:val="003C5E5C"/>
    <w:rsid w:val="003D044E"/>
    <w:rsid w:val="003D190B"/>
    <w:rsid w:val="003D41EE"/>
    <w:rsid w:val="003D5E87"/>
    <w:rsid w:val="003D67D5"/>
    <w:rsid w:val="003D6A42"/>
    <w:rsid w:val="003D7246"/>
    <w:rsid w:val="003D74FD"/>
    <w:rsid w:val="003E66A2"/>
    <w:rsid w:val="003E6D95"/>
    <w:rsid w:val="003E7445"/>
    <w:rsid w:val="003E763D"/>
    <w:rsid w:val="003F007A"/>
    <w:rsid w:val="003F15D8"/>
    <w:rsid w:val="003F2685"/>
    <w:rsid w:val="003F534A"/>
    <w:rsid w:val="0040182F"/>
    <w:rsid w:val="00403C30"/>
    <w:rsid w:val="00404357"/>
    <w:rsid w:val="00405374"/>
    <w:rsid w:val="00407D72"/>
    <w:rsid w:val="00407EA4"/>
    <w:rsid w:val="00413837"/>
    <w:rsid w:val="00413888"/>
    <w:rsid w:val="00413D73"/>
    <w:rsid w:val="00414E32"/>
    <w:rsid w:val="00423AF2"/>
    <w:rsid w:val="004245E3"/>
    <w:rsid w:val="00425D3A"/>
    <w:rsid w:val="00427FA6"/>
    <w:rsid w:val="00430E2B"/>
    <w:rsid w:val="00431915"/>
    <w:rsid w:val="00432EC9"/>
    <w:rsid w:val="0043316D"/>
    <w:rsid w:val="004341E6"/>
    <w:rsid w:val="00436878"/>
    <w:rsid w:val="00440166"/>
    <w:rsid w:val="004413ED"/>
    <w:rsid w:val="00442372"/>
    <w:rsid w:val="00442B87"/>
    <w:rsid w:val="0044353B"/>
    <w:rsid w:val="00443824"/>
    <w:rsid w:val="00444898"/>
    <w:rsid w:val="00446073"/>
    <w:rsid w:val="00447460"/>
    <w:rsid w:val="0045155D"/>
    <w:rsid w:val="00454058"/>
    <w:rsid w:val="0045479E"/>
    <w:rsid w:val="00456310"/>
    <w:rsid w:val="00457A10"/>
    <w:rsid w:val="00460686"/>
    <w:rsid w:val="004616D4"/>
    <w:rsid w:val="00464677"/>
    <w:rsid w:val="00465A6C"/>
    <w:rsid w:val="00471FA0"/>
    <w:rsid w:val="00472AB6"/>
    <w:rsid w:val="00473D89"/>
    <w:rsid w:val="00474234"/>
    <w:rsid w:val="00474822"/>
    <w:rsid w:val="00480805"/>
    <w:rsid w:val="00486A8C"/>
    <w:rsid w:val="00490188"/>
    <w:rsid w:val="00490464"/>
    <w:rsid w:val="0049076F"/>
    <w:rsid w:val="00490C0A"/>
    <w:rsid w:val="004910A6"/>
    <w:rsid w:val="00494829"/>
    <w:rsid w:val="00494F08"/>
    <w:rsid w:val="00494F50"/>
    <w:rsid w:val="0049573D"/>
    <w:rsid w:val="004957AA"/>
    <w:rsid w:val="004966A6"/>
    <w:rsid w:val="00496E8E"/>
    <w:rsid w:val="004A05A2"/>
    <w:rsid w:val="004A0783"/>
    <w:rsid w:val="004A0D51"/>
    <w:rsid w:val="004A1550"/>
    <w:rsid w:val="004A2A83"/>
    <w:rsid w:val="004A7113"/>
    <w:rsid w:val="004B0993"/>
    <w:rsid w:val="004B3C04"/>
    <w:rsid w:val="004B3E11"/>
    <w:rsid w:val="004B3F9D"/>
    <w:rsid w:val="004B44E2"/>
    <w:rsid w:val="004B457C"/>
    <w:rsid w:val="004C4361"/>
    <w:rsid w:val="004C4E8E"/>
    <w:rsid w:val="004C605A"/>
    <w:rsid w:val="004D0032"/>
    <w:rsid w:val="004D5036"/>
    <w:rsid w:val="004D6210"/>
    <w:rsid w:val="004D6D29"/>
    <w:rsid w:val="004E04CC"/>
    <w:rsid w:val="004E0F00"/>
    <w:rsid w:val="004E13A3"/>
    <w:rsid w:val="004E1ADA"/>
    <w:rsid w:val="004E28AE"/>
    <w:rsid w:val="004E46EF"/>
    <w:rsid w:val="004E4930"/>
    <w:rsid w:val="004E5F3C"/>
    <w:rsid w:val="004E650C"/>
    <w:rsid w:val="004E6D14"/>
    <w:rsid w:val="004F2637"/>
    <w:rsid w:val="004F5529"/>
    <w:rsid w:val="004F6C6F"/>
    <w:rsid w:val="004F72AA"/>
    <w:rsid w:val="0050075A"/>
    <w:rsid w:val="00501350"/>
    <w:rsid w:val="00503C2E"/>
    <w:rsid w:val="005128F8"/>
    <w:rsid w:val="00512D08"/>
    <w:rsid w:val="00516061"/>
    <w:rsid w:val="005164CA"/>
    <w:rsid w:val="00516F8F"/>
    <w:rsid w:val="00521D32"/>
    <w:rsid w:val="00521E0C"/>
    <w:rsid w:val="00521E93"/>
    <w:rsid w:val="005247FF"/>
    <w:rsid w:val="00525AAB"/>
    <w:rsid w:val="00527C68"/>
    <w:rsid w:val="005308B1"/>
    <w:rsid w:val="005312D9"/>
    <w:rsid w:val="0053155B"/>
    <w:rsid w:val="0053378F"/>
    <w:rsid w:val="00533F4D"/>
    <w:rsid w:val="005364CB"/>
    <w:rsid w:val="0054437E"/>
    <w:rsid w:val="00551994"/>
    <w:rsid w:val="00551A37"/>
    <w:rsid w:val="00555E7A"/>
    <w:rsid w:val="00556586"/>
    <w:rsid w:val="00561312"/>
    <w:rsid w:val="005637E0"/>
    <w:rsid w:val="00565766"/>
    <w:rsid w:val="00571DC6"/>
    <w:rsid w:val="0057249A"/>
    <w:rsid w:val="00573071"/>
    <w:rsid w:val="00573936"/>
    <w:rsid w:val="005775A7"/>
    <w:rsid w:val="0058112A"/>
    <w:rsid w:val="005832F9"/>
    <w:rsid w:val="00590C29"/>
    <w:rsid w:val="00592475"/>
    <w:rsid w:val="00593155"/>
    <w:rsid w:val="00594B0A"/>
    <w:rsid w:val="005957E3"/>
    <w:rsid w:val="00596E93"/>
    <w:rsid w:val="00597647"/>
    <w:rsid w:val="005A1259"/>
    <w:rsid w:val="005A3585"/>
    <w:rsid w:val="005A5831"/>
    <w:rsid w:val="005A77A5"/>
    <w:rsid w:val="005B1045"/>
    <w:rsid w:val="005B2917"/>
    <w:rsid w:val="005B4212"/>
    <w:rsid w:val="005B74C5"/>
    <w:rsid w:val="005B7618"/>
    <w:rsid w:val="005B7EA8"/>
    <w:rsid w:val="005C0FA7"/>
    <w:rsid w:val="005C1363"/>
    <w:rsid w:val="005C2885"/>
    <w:rsid w:val="005C4FC2"/>
    <w:rsid w:val="005C57CC"/>
    <w:rsid w:val="005C68DE"/>
    <w:rsid w:val="005D1C52"/>
    <w:rsid w:val="005D1D7E"/>
    <w:rsid w:val="005D5ED5"/>
    <w:rsid w:val="005D78FE"/>
    <w:rsid w:val="005D7FF7"/>
    <w:rsid w:val="005E3CFC"/>
    <w:rsid w:val="005E4557"/>
    <w:rsid w:val="005E563A"/>
    <w:rsid w:val="005F0CAA"/>
    <w:rsid w:val="005F5A25"/>
    <w:rsid w:val="005F5DE1"/>
    <w:rsid w:val="006006B3"/>
    <w:rsid w:val="006017D5"/>
    <w:rsid w:val="006018A2"/>
    <w:rsid w:val="00604FEE"/>
    <w:rsid w:val="00605C63"/>
    <w:rsid w:val="006063AF"/>
    <w:rsid w:val="00610641"/>
    <w:rsid w:val="00610B81"/>
    <w:rsid w:val="00611874"/>
    <w:rsid w:val="00612BEE"/>
    <w:rsid w:val="00613417"/>
    <w:rsid w:val="00614AFE"/>
    <w:rsid w:val="00614DC8"/>
    <w:rsid w:val="00615426"/>
    <w:rsid w:val="00622A99"/>
    <w:rsid w:val="006231AC"/>
    <w:rsid w:val="00624F46"/>
    <w:rsid w:val="00632705"/>
    <w:rsid w:val="006353EF"/>
    <w:rsid w:val="00635FBF"/>
    <w:rsid w:val="006402D3"/>
    <w:rsid w:val="006408E8"/>
    <w:rsid w:val="00644334"/>
    <w:rsid w:val="00644866"/>
    <w:rsid w:val="006454BF"/>
    <w:rsid w:val="00646888"/>
    <w:rsid w:val="00650EA4"/>
    <w:rsid w:val="006522AA"/>
    <w:rsid w:val="00654CF7"/>
    <w:rsid w:val="00656EA0"/>
    <w:rsid w:val="00657E13"/>
    <w:rsid w:val="0066196F"/>
    <w:rsid w:val="00661B92"/>
    <w:rsid w:val="00661D7A"/>
    <w:rsid w:val="0066336A"/>
    <w:rsid w:val="006709B9"/>
    <w:rsid w:val="00672761"/>
    <w:rsid w:val="00674C9A"/>
    <w:rsid w:val="00675ABF"/>
    <w:rsid w:val="006773B5"/>
    <w:rsid w:val="0068101E"/>
    <w:rsid w:val="00682C1D"/>
    <w:rsid w:val="00687154"/>
    <w:rsid w:val="00690FF2"/>
    <w:rsid w:val="006916DE"/>
    <w:rsid w:val="00693BFE"/>
    <w:rsid w:val="00695585"/>
    <w:rsid w:val="006977E3"/>
    <w:rsid w:val="006A08BB"/>
    <w:rsid w:val="006A0AD9"/>
    <w:rsid w:val="006A2A7B"/>
    <w:rsid w:val="006A2CC1"/>
    <w:rsid w:val="006A40F2"/>
    <w:rsid w:val="006A5CE0"/>
    <w:rsid w:val="006A6FBD"/>
    <w:rsid w:val="006B0C86"/>
    <w:rsid w:val="006B2A24"/>
    <w:rsid w:val="006B318B"/>
    <w:rsid w:val="006B49A7"/>
    <w:rsid w:val="006C008C"/>
    <w:rsid w:val="006C0353"/>
    <w:rsid w:val="006C2083"/>
    <w:rsid w:val="006C58ED"/>
    <w:rsid w:val="006D5B95"/>
    <w:rsid w:val="006D70F0"/>
    <w:rsid w:val="006D7108"/>
    <w:rsid w:val="006E03FF"/>
    <w:rsid w:val="006E0828"/>
    <w:rsid w:val="006E088D"/>
    <w:rsid w:val="006E1BCC"/>
    <w:rsid w:val="006F02CD"/>
    <w:rsid w:val="006F35BD"/>
    <w:rsid w:val="006F3BB5"/>
    <w:rsid w:val="006F7A97"/>
    <w:rsid w:val="0070107B"/>
    <w:rsid w:val="007012F2"/>
    <w:rsid w:val="0070438B"/>
    <w:rsid w:val="007065AB"/>
    <w:rsid w:val="007106AB"/>
    <w:rsid w:val="00712DD7"/>
    <w:rsid w:val="00713499"/>
    <w:rsid w:val="00715D81"/>
    <w:rsid w:val="00716510"/>
    <w:rsid w:val="00721A28"/>
    <w:rsid w:val="00722E85"/>
    <w:rsid w:val="007256FA"/>
    <w:rsid w:val="00725AAA"/>
    <w:rsid w:val="00727ED0"/>
    <w:rsid w:val="0073161D"/>
    <w:rsid w:val="007332E2"/>
    <w:rsid w:val="00734CB9"/>
    <w:rsid w:val="00735F82"/>
    <w:rsid w:val="00743180"/>
    <w:rsid w:val="00744332"/>
    <w:rsid w:val="00744727"/>
    <w:rsid w:val="0074524C"/>
    <w:rsid w:val="007452E9"/>
    <w:rsid w:val="0074721C"/>
    <w:rsid w:val="007506F9"/>
    <w:rsid w:val="00751875"/>
    <w:rsid w:val="00751F0A"/>
    <w:rsid w:val="00753CDC"/>
    <w:rsid w:val="007554C9"/>
    <w:rsid w:val="007565E1"/>
    <w:rsid w:val="0076043B"/>
    <w:rsid w:val="00760F9E"/>
    <w:rsid w:val="00762EB5"/>
    <w:rsid w:val="00763BAC"/>
    <w:rsid w:val="00764078"/>
    <w:rsid w:val="0076425F"/>
    <w:rsid w:val="00764D1E"/>
    <w:rsid w:val="00764E71"/>
    <w:rsid w:val="00765033"/>
    <w:rsid w:val="007659A3"/>
    <w:rsid w:val="007668E3"/>
    <w:rsid w:val="00766995"/>
    <w:rsid w:val="00766BF5"/>
    <w:rsid w:val="007704D3"/>
    <w:rsid w:val="00771616"/>
    <w:rsid w:val="00774F16"/>
    <w:rsid w:val="00775C0A"/>
    <w:rsid w:val="007857BD"/>
    <w:rsid w:val="00786461"/>
    <w:rsid w:val="00787430"/>
    <w:rsid w:val="00790358"/>
    <w:rsid w:val="00790554"/>
    <w:rsid w:val="007914AB"/>
    <w:rsid w:val="00793BDF"/>
    <w:rsid w:val="00796631"/>
    <w:rsid w:val="00797D8D"/>
    <w:rsid w:val="007A0255"/>
    <w:rsid w:val="007A1D45"/>
    <w:rsid w:val="007A675F"/>
    <w:rsid w:val="007B53EE"/>
    <w:rsid w:val="007B7C25"/>
    <w:rsid w:val="007C04CC"/>
    <w:rsid w:val="007C07D7"/>
    <w:rsid w:val="007C2E70"/>
    <w:rsid w:val="007C3067"/>
    <w:rsid w:val="007C3EC7"/>
    <w:rsid w:val="007C46AE"/>
    <w:rsid w:val="007C6604"/>
    <w:rsid w:val="007D0C1E"/>
    <w:rsid w:val="007D1F9E"/>
    <w:rsid w:val="007D2F89"/>
    <w:rsid w:val="007D380A"/>
    <w:rsid w:val="007D56B1"/>
    <w:rsid w:val="007E0116"/>
    <w:rsid w:val="007E2B55"/>
    <w:rsid w:val="007E3219"/>
    <w:rsid w:val="007E6673"/>
    <w:rsid w:val="007F0A37"/>
    <w:rsid w:val="007F24CD"/>
    <w:rsid w:val="007F319C"/>
    <w:rsid w:val="007F4237"/>
    <w:rsid w:val="007F58F2"/>
    <w:rsid w:val="0080260B"/>
    <w:rsid w:val="00802829"/>
    <w:rsid w:val="00811233"/>
    <w:rsid w:val="00811772"/>
    <w:rsid w:val="00814EDF"/>
    <w:rsid w:val="00817A85"/>
    <w:rsid w:val="00821714"/>
    <w:rsid w:val="008231C5"/>
    <w:rsid w:val="0082607A"/>
    <w:rsid w:val="008342FF"/>
    <w:rsid w:val="00834398"/>
    <w:rsid w:val="0084436D"/>
    <w:rsid w:val="00845DC9"/>
    <w:rsid w:val="00845E10"/>
    <w:rsid w:val="008461EF"/>
    <w:rsid w:val="00846692"/>
    <w:rsid w:val="00847F30"/>
    <w:rsid w:val="00850124"/>
    <w:rsid w:val="008527ED"/>
    <w:rsid w:val="00853222"/>
    <w:rsid w:val="00854CBF"/>
    <w:rsid w:val="00854E47"/>
    <w:rsid w:val="008602BE"/>
    <w:rsid w:val="00860D87"/>
    <w:rsid w:val="0086401F"/>
    <w:rsid w:val="0087596F"/>
    <w:rsid w:val="00877C20"/>
    <w:rsid w:val="00877C47"/>
    <w:rsid w:val="00880DE1"/>
    <w:rsid w:val="008837E8"/>
    <w:rsid w:val="00883909"/>
    <w:rsid w:val="00885121"/>
    <w:rsid w:val="008856F4"/>
    <w:rsid w:val="0088715A"/>
    <w:rsid w:val="008921E6"/>
    <w:rsid w:val="00897ECE"/>
    <w:rsid w:val="008A1591"/>
    <w:rsid w:val="008A316A"/>
    <w:rsid w:val="008A474A"/>
    <w:rsid w:val="008A56DF"/>
    <w:rsid w:val="008B0900"/>
    <w:rsid w:val="008B0FC5"/>
    <w:rsid w:val="008B21B4"/>
    <w:rsid w:val="008B417B"/>
    <w:rsid w:val="008B458F"/>
    <w:rsid w:val="008B4828"/>
    <w:rsid w:val="008B57CA"/>
    <w:rsid w:val="008C1A84"/>
    <w:rsid w:val="008C34ED"/>
    <w:rsid w:val="008C3B79"/>
    <w:rsid w:val="008C47AB"/>
    <w:rsid w:val="008C7AC6"/>
    <w:rsid w:val="008D2739"/>
    <w:rsid w:val="008D747C"/>
    <w:rsid w:val="008E54BB"/>
    <w:rsid w:val="008E5F76"/>
    <w:rsid w:val="008F07EC"/>
    <w:rsid w:val="008F19BF"/>
    <w:rsid w:val="008F1ECF"/>
    <w:rsid w:val="008F327B"/>
    <w:rsid w:val="008F4572"/>
    <w:rsid w:val="008F4645"/>
    <w:rsid w:val="008F5FEC"/>
    <w:rsid w:val="008F77BA"/>
    <w:rsid w:val="008F781A"/>
    <w:rsid w:val="009017E3"/>
    <w:rsid w:val="00906A7C"/>
    <w:rsid w:val="00906EAF"/>
    <w:rsid w:val="00910655"/>
    <w:rsid w:val="00911E51"/>
    <w:rsid w:val="009128A4"/>
    <w:rsid w:val="009157EE"/>
    <w:rsid w:val="009177D4"/>
    <w:rsid w:val="00917B9C"/>
    <w:rsid w:val="00921899"/>
    <w:rsid w:val="00922C39"/>
    <w:rsid w:val="009235F3"/>
    <w:rsid w:val="00924055"/>
    <w:rsid w:val="00931ED8"/>
    <w:rsid w:val="00933207"/>
    <w:rsid w:val="00933BB9"/>
    <w:rsid w:val="009340E7"/>
    <w:rsid w:val="00934925"/>
    <w:rsid w:val="00935013"/>
    <w:rsid w:val="00935744"/>
    <w:rsid w:val="00935C57"/>
    <w:rsid w:val="00941169"/>
    <w:rsid w:val="00941E94"/>
    <w:rsid w:val="00943DF6"/>
    <w:rsid w:val="00946578"/>
    <w:rsid w:val="0094789A"/>
    <w:rsid w:val="009508E1"/>
    <w:rsid w:val="00952895"/>
    <w:rsid w:val="009535FA"/>
    <w:rsid w:val="00953E83"/>
    <w:rsid w:val="0095466F"/>
    <w:rsid w:val="00957A4D"/>
    <w:rsid w:val="00960D28"/>
    <w:rsid w:val="00961196"/>
    <w:rsid w:val="00964EFA"/>
    <w:rsid w:val="00965979"/>
    <w:rsid w:val="00967877"/>
    <w:rsid w:val="00971F44"/>
    <w:rsid w:val="0097436C"/>
    <w:rsid w:val="0097451F"/>
    <w:rsid w:val="009755D2"/>
    <w:rsid w:val="0097618C"/>
    <w:rsid w:val="00976E4C"/>
    <w:rsid w:val="00976FDA"/>
    <w:rsid w:val="00981271"/>
    <w:rsid w:val="00984243"/>
    <w:rsid w:val="00985127"/>
    <w:rsid w:val="00987341"/>
    <w:rsid w:val="00987619"/>
    <w:rsid w:val="00990D92"/>
    <w:rsid w:val="00991E7F"/>
    <w:rsid w:val="00993326"/>
    <w:rsid w:val="009958AF"/>
    <w:rsid w:val="00995A4E"/>
    <w:rsid w:val="00996C25"/>
    <w:rsid w:val="009A25AA"/>
    <w:rsid w:val="009A3BDB"/>
    <w:rsid w:val="009A5143"/>
    <w:rsid w:val="009A606C"/>
    <w:rsid w:val="009A6CC3"/>
    <w:rsid w:val="009B3A13"/>
    <w:rsid w:val="009B3BCF"/>
    <w:rsid w:val="009B6905"/>
    <w:rsid w:val="009C0CAC"/>
    <w:rsid w:val="009C23BA"/>
    <w:rsid w:val="009C5119"/>
    <w:rsid w:val="009C78C3"/>
    <w:rsid w:val="009D5845"/>
    <w:rsid w:val="009E0F0D"/>
    <w:rsid w:val="009E1E72"/>
    <w:rsid w:val="009E7B67"/>
    <w:rsid w:val="009F0F9E"/>
    <w:rsid w:val="009F1A5C"/>
    <w:rsid w:val="009F32B2"/>
    <w:rsid w:val="009F5AC4"/>
    <w:rsid w:val="00A06455"/>
    <w:rsid w:val="00A12DAF"/>
    <w:rsid w:val="00A147C9"/>
    <w:rsid w:val="00A150CB"/>
    <w:rsid w:val="00A16152"/>
    <w:rsid w:val="00A20885"/>
    <w:rsid w:val="00A21E3C"/>
    <w:rsid w:val="00A21E73"/>
    <w:rsid w:val="00A2242D"/>
    <w:rsid w:val="00A2293F"/>
    <w:rsid w:val="00A2425E"/>
    <w:rsid w:val="00A300AD"/>
    <w:rsid w:val="00A36B38"/>
    <w:rsid w:val="00A36B4D"/>
    <w:rsid w:val="00A376A1"/>
    <w:rsid w:val="00A41271"/>
    <w:rsid w:val="00A41BBC"/>
    <w:rsid w:val="00A42385"/>
    <w:rsid w:val="00A61D22"/>
    <w:rsid w:val="00A63759"/>
    <w:rsid w:val="00A6567C"/>
    <w:rsid w:val="00A66F9C"/>
    <w:rsid w:val="00A67C92"/>
    <w:rsid w:val="00A70220"/>
    <w:rsid w:val="00A72767"/>
    <w:rsid w:val="00A75CB6"/>
    <w:rsid w:val="00A76E37"/>
    <w:rsid w:val="00A8040A"/>
    <w:rsid w:val="00A8169C"/>
    <w:rsid w:val="00A82883"/>
    <w:rsid w:val="00A82EC6"/>
    <w:rsid w:val="00A847EB"/>
    <w:rsid w:val="00A84D30"/>
    <w:rsid w:val="00A917BD"/>
    <w:rsid w:val="00A945BE"/>
    <w:rsid w:val="00A95B15"/>
    <w:rsid w:val="00A96E3F"/>
    <w:rsid w:val="00A97A21"/>
    <w:rsid w:val="00AA0DD4"/>
    <w:rsid w:val="00AA65DB"/>
    <w:rsid w:val="00AA6795"/>
    <w:rsid w:val="00AA690F"/>
    <w:rsid w:val="00AA72A0"/>
    <w:rsid w:val="00AB2290"/>
    <w:rsid w:val="00AB2CBD"/>
    <w:rsid w:val="00AB34F9"/>
    <w:rsid w:val="00AB57DC"/>
    <w:rsid w:val="00AC01C3"/>
    <w:rsid w:val="00AC1967"/>
    <w:rsid w:val="00AC25D7"/>
    <w:rsid w:val="00AC38BB"/>
    <w:rsid w:val="00AD02E3"/>
    <w:rsid w:val="00AD3483"/>
    <w:rsid w:val="00AD44BA"/>
    <w:rsid w:val="00AD5208"/>
    <w:rsid w:val="00AD6A7A"/>
    <w:rsid w:val="00AD750C"/>
    <w:rsid w:val="00AE0546"/>
    <w:rsid w:val="00AE343A"/>
    <w:rsid w:val="00AE3C9B"/>
    <w:rsid w:val="00AE40BB"/>
    <w:rsid w:val="00AE5142"/>
    <w:rsid w:val="00AE582E"/>
    <w:rsid w:val="00AF1DA7"/>
    <w:rsid w:val="00AF1F85"/>
    <w:rsid w:val="00AF3000"/>
    <w:rsid w:val="00AF3C19"/>
    <w:rsid w:val="00B01DA9"/>
    <w:rsid w:val="00B0330D"/>
    <w:rsid w:val="00B05FF8"/>
    <w:rsid w:val="00B07719"/>
    <w:rsid w:val="00B10E6C"/>
    <w:rsid w:val="00B14382"/>
    <w:rsid w:val="00B17B28"/>
    <w:rsid w:val="00B17D3F"/>
    <w:rsid w:val="00B2143F"/>
    <w:rsid w:val="00B21B82"/>
    <w:rsid w:val="00B2205B"/>
    <w:rsid w:val="00B22A24"/>
    <w:rsid w:val="00B24128"/>
    <w:rsid w:val="00B24639"/>
    <w:rsid w:val="00B24B9E"/>
    <w:rsid w:val="00B25552"/>
    <w:rsid w:val="00B31BEF"/>
    <w:rsid w:val="00B35571"/>
    <w:rsid w:val="00B356A1"/>
    <w:rsid w:val="00B35D20"/>
    <w:rsid w:val="00B36BEE"/>
    <w:rsid w:val="00B36E89"/>
    <w:rsid w:val="00B41309"/>
    <w:rsid w:val="00B41AE1"/>
    <w:rsid w:val="00B44714"/>
    <w:rsid w:val="00B45879"/>
    <w:rsid w:val="00B46164"/>
    <w:rsid w:val="00B50E31"/>
    <w:rsid w:val="00B51445"/>
    <w:rsid w:val="00B5254B"/>
    <w:rsid w:val="00B54827"/>
    <w:rsid w:val="00B54DBE"/>
    <w:rsid w:val="00B553B6"/>
    <w:rsid w:val="00B55B4E"/>
    <w:rsid w:val="00B55C02"/>
    <w:rsid w:val="00B61658"/>
    <w:rsid w:val="00B62651"/>
    <w:rsid w:val="00B65128"/>
    <w:rsid w:val="00B66984"/>
    <w:rsid w:val="00B6776A"/>
    <w:rsid w:val="00B71B8A"/>
    <w:rsid w:val="00B7307E"/>
    <w:rsid w:val="00B75E62"/>
    <w:rsid w:val="00B82F5F"/>
    <w:rsid w:val="00B8386F"/>
    <w:rsid w:val="00B83934"/>
    <w:rsid w:val="00B860FB"/>
    <w:rsid w:val="00B861A2"/>
    <w:rsid w:val="00B87019"/>
    <w:rsid w:val="00B90655"/>
    <w:rsid w:val="00B92C46"/>
    <w:rsid w:val="00B933CF"/>
    <w:rsid w:val="00B93DFD"/>
    <w:rsid w:val="00B94898"/>
    <w:rsid w:val="00B94FDD"/>
    <w:rsid w:val="00B9553F"/>
    <w:rsid w:val="00B95A56"/>
    <w:rsid w:val="00B961F1"/>
    <w:rsid w:val="00B96884"/>
    <w:rsid w:val="00BA17B6"/>
    <w:rsid w:val="00BA2769"/>
    <w:rsid w:val="00BA28CB"/>
    <w:rsid w:val="00BA402F"/>
    <w:rsid w:val="00BB2A4D"/>
    <w:rsid w:val="00BB452C"/>
    <w:rsid w:val="00BB54FA"/>
    <w:rsid w:val="00BC3F56"/>
    <w:rsid w:val="00BC4827"/>
    <w:rsid w:val="00BC4E00"/>
    <w:rsid w:val="00BD08FC"/>
    <w:rsid w:val="00BD0E8F"/>
    <w:rsid w:val="00BD4121"/>
    <w:rsid w:val="00BD47E6"/>
    <w:rsid w:val="00BD4993"/>
    <w:rsid w:val="00BD6F75"/>
    <w:rsid w:val="00BD774F"/>
    <w:rsid w:val="00BD7AE2"/>
    <w:rsid w:val="00BD7D34"/>
    <w:rsid w:val="00BE1E73"/>
    <w:rsid w:val="00BE4C72"/>
    <w:rsid w:val="00BE54B2"/>
    <w:rsid w:val="00BF30D7"/>
    <w:rsid w:val="00BF5045"/>
    <w:rsid w:val="00BF6E68"/>
    <w:rsid w:val="00BF6EB0"/>
    <w:rsid w:val="00C02080"/>
    <w:rsid w:val="00C0549F"/>
    <w:rsid w:val="00C062E1"/>
    <w:rsid w:val="00C07346"/>
    <w:rsid w:val="00C111CD"/>
    <w:rsid w:val="00C1201E"/>
    <w:rsid w:val="00C15A83"/>
    <w:rsid w:val="00C16C16"/>
    <w:rsid w:val="00C20A66"/>
    <w:rsid w:val="00C21780"/>
    <w:rsid w:val="00C2417B"/>
    <w:rsid w:val="00C257B8"/>
    <w:rsid w:val="00C25A77"/>
    <w:rsid w:val="00C25DF2"/>
    <w:rsid w:val="00C3275F"/>
    <w:rsid w:val="00C32B40"/>
    <w:rsid w:val="00C33223"/>
    <w:rsid w:val="00C33791"/>
    <w:rsid w:val="00C34BF3"/>
    <w:rsid w:val="00C40B5B"/>
    <w:rsid w:val="00C422F7"/>
    <w:rsid w:val="00C43268"/>
    <w:rsid w:val="00C43FFA"/>
    <w:rsid w:val="00C45F92"/>
    <w:rsid w:val="00C51384"/>
    <w:rsid w:val="00C51BCA"/>
    <w:rsid w:val="00C55FF1"/>
    <w:rsid w:val="00C56763"/>
    <w:rsid w:val="00C57AC9"/>
    <w:rsid w:val="00C6367C"/>
    <w:rsid w:val="00C6665C"/>
    <w:rsid w:val="00C67C47"/>
    <w:rsid w:val="00C71D25"/>
    <w:rsid w:val="00C76CC0"/>
    <w:rsid w:val="00C831E1"/>
    <w:rsid w:val="00C85219"/>
    <w:rsid w:val="00C90C6A"/>
    <w:rsid w:val="00C92037"/>
    <w:rsid w:val="00CA00BC"/>
    <w:rsid w:val="00CA1946"/>
    <w:rsid w:val="00CA24B5"/>
    <w:rsid w:val="00CA2DF7"/>
    <w:rsid w:val="00CA42AE"/>
    <w:rsid w:val="00CB129A"/>
    <w:rsid w:val="00CB18F4"/>
    <w:rsid w:val="00CB29C7"/>
    <w:rsid w:val="00CB2C37"/>
    <w:rsid w:val="00CB3BC3"/>
    <w:rsid w:val="00CB5250"/>
    <w:rsid w:val="00CB5BE9"/>
    <w:rsid w:val="00CB5F4A"/>
    <w:rsid w:val="00CB6965"/>
    <w:rsid w:val="00CB7003"/>
    <w:rsid w:val="00CB70C4"/>
    <w:rsid w:val="00CC0B51"/>
    <w:rsid w:val="00CC252C"/>
    <w:rsid w:val="00CD1130"/>
    <w:rsid w:val="00CD41DD"/>
    <w:rsid w:val="00CD6A04"/>
    <w:rsid w:val="00CD6E5D"/>
    <w:rsid w:val="00CD7E21"/>
    <w:rsid w:val="00CE0633"/>
    <w:rsid w:val="00CE137A"/>
    <w:rsid w:val="00CE1452"/>
    <w:rsid w:val="00CE2837"/>
    <w:rsid w:val="00CE5785"/>
    <w:rsid w:val="00CF0ED0"/>
    <w:rsid w:val="00CF12C7"/>
    <w:rsid w:val="00CF272D"/>
    <w:rsid w:val="00CF3297"/>
    <w:rsid w:val="00CF3A7C"/>
    <w:rsid w:val="00CF496C"/>
    <w:rsid w:val="00CF5410"/>
    <w:rsid w:val="00D00B03"/>
    <w:rsid w:val="00D00F75"/>
    <w:rsid w:val="00D01701"/>
    <w:rsid w:val="00D01817"/>
    <w:rsid w:val="00D046BC"/>
    <w:rsid w:val="00D0561E"/>
    <w:rsid w:val="00D07A32"/>
    <w:rsid w:val="00D113CC"/>
    <w:rsid w:val="00D12C6C"/>
    <w:rsid w:val="00D132DA"/>
    <w:rsid w:val="00D1338F"/>
    <w:rsid w:val="00D13702"/>
    <w:rsid w:val="00D13E76"/>
    <w:rsid w:val="00D142A3"/>
    <w:rsid w:val="00D171D7"/>
    <w:rsid w:val="00D21981"/>
    <w:rsid w:val="00D22D99"/>
    <w:rsid w:val="00D25FD7"/>
    <w:rsid w:val="00D4089B"/>
    <w:rsid w:val="00D47197"/>
    <w:rsid w:val="00D51200"/>
    <w:rsid w:val="00D53ED2"/>
    <w:rsid w:val="00D54437"/>
    <w:rsid w:val="00D56A00"/>
    <w:rsid w:val="00D60DE9"/>
    <w:rsid w:val="00D62A92"/>
    <w:rsid w:val="00D6631A"/>
    <w:rsid w:val="00D67E27"/>
    <w:rsid w:val="00D72387"/>
    <w:rsid w:val="00D744AD"/>
    <w:rsid w:val="00D756ED"/>
    <w:rsid w:val="00D75934"/>
    <w:rsid w:val="00D75CAF"/>
    <w:rsid w:val="00D83001"/>
    <w:rsid w:val="00D83065"/>
    <w:rsid w:val="00D83BE4"/>
    <w:rsid w:val="00D863F8"/>
    <w:rsid w:val="00D919AC"/>
    <w:rsid w:val="00D91CEA"/>
    <w:rsid w:val="00D93C6B"/>
    <w:rsid w:val="00D96B12"/>
    <w:rsid w:val="00D97149"/>
    <w:rsid w:val="00D9722A"/>
    <w:rsid w:val="00D972AD"/>
    <w:rsid w:val="00D9746D"/>
    <w:rsid w:val="00DA5B35"/>
    <w:rsid w:val="00DB0C24"/>
    <w:rsid w:val="00DB1ED9"/>
    <w:rsid w:val="00DB5D08"/>
    <w:rsid w:val="00DB6F40"/>
    <w:rsid w:val="00DC0378"/>
    <w:rsid w:val="00DC21F6"/>
    <w:rsid w:val="00DC2A7E"/>
    <w:rsid w:val="00DC36C4"/>
    <w:rsid w:val="00DD0285"/>
    <w:rsid w:val="00DD0675"/>
    <w:rsid w:val="00DD10D7"/>
    <w:rsid w:val="00DD17E5"/>
    <w:rsid w:val="00DD1F91"/>
    <w:rsid w:val="00DD57B3"/>
    <w:rsid w:val="00DD6C95"/>
    <w:rsid w:val="00DE06D9"/>
    <w:rsid w:val="00DE284D"/>
    <w:rsid w:val="00DE29AB"/>
    <w:rsid w:val="00DE6EB2"/>
    <w:rsid w:val="00DF185A"/>
    <w:rsid w:val="00DF35B7"/>
    <w:rsid w:val="00DF7B9B"/>
    <w:rsid w:val="00DF7F84"/>
    <w:rsid w:val="00E000A7"/>
    <w:rsid w:val="00E00B49"/>
    <w:rsid w:val="00E00E50"/>
    <w:rsid w:val="00E036B4"/>
    <w:rsid w:val="00E03FB3"/>
    <w:rsid w:val="00E0786B"/>
    <w:rsid w:val="00E116CA"/>
    <w:rsid w:val="00E12C39"/>
    <w:rsid w:val="00E1379D"/>
    <w:rsid w:val="00E161EE"/>
    <w:rsid w:val="00E16F61"/>
    <w:rsid w:val="00E17131"/>
    <w:rsid w:val="00E239BC"/>
    <w:rsid w:val="00E259A3"/>
    <w:rsid w:val="00E30635"/>
    <w:rsid w:val="00E31038"/>
    <w:rsid w:val="00E31249"/>
    <w:rsid w:val="00E33AB3"/>
    <w:rsid w:val="00E34034"/>
    <w:rsid w:val="00E3484D"/>
    <w:rsid w:val="00E421F8"/>
    <w:rsid w:val="00E43D43"/>
    <w:rsid w:val="00E44126"/>
    <w:rsid w:val="00E47F85"/>
    <w:rsid w:val="00E50132"/>
    <w:rsid w:val="00E50BB7"/>
    <w:rsid w:val="00E52AE2"/>
    <w:rsid w:val="00E544A7"/>
    <w:rsid w:val="00E62E06"/>
    <w:rsid w:val="00E66AC3"/>
    <w:rsid w:val="00E708D7"/>
    <w:rsid w:val="00E723A3"/>
    <w:rsid w:val="00E72A9A"/>
    <w:rsid w:val="00E72EAB"/>
    <w:rsid w:val="00E73EC8"/>
    <w:rsid w:val="00E745AB"/>
    <w:rsid w:val="00E74ECD"/>
    <w:rsid w:val="00E758ED"/>
    <w:rsid w:val="00E7617F"/>
    <w:rsid w:val="00E7722F"/>
    <w:rsid w:val="00E77D33"/>
    <w:rsid w:val="00E80F50"/>
    <w:rsid w:val="00E82EED"/>
    <w:rsid w:val="00E853F5"/>
    <w:rsid w:val="00E86610"/>
    <w:rsid w:val="00E90C0A"/>
    <w:rsid w:val="00E91793"/>
    <w:rsid w:val="00E9328B"/>
    <w:rsid w:val="00E935AF"/>
    <w:rsid w:val="00E959C4"/>
    <w:rsid w:val="00EA34AF"/>
    <w:rsid w:val="00EA7DBD"/>
    <w:rsid w:val="00EB2B28"/>
    <w:rsid w:val="00EB447B"/>
    <w:rsid w:val="00EB4635"/>
    <w:rsid w:val="00EB6B40"/>
    <w:rsid w:val="00EC3221"/>
    <w:rsid w:val="00EC3A12"/>
    <w:rsid w:val="00EC538A"/>
    <w:rsid w:val="00ED0786"/>
    <w:rsid w:val="00ED435D"/>
    <w:rsid w:val="00EE1783"/>
    <w:rsid w:val="00EE1E69"/>
    <w:rsid w:val="00EE426E"/>
    <w:rsid w:val="00EE4AC0"/>
    <w:rsid w:val="00EE4FA4"/>
    <w:rsid w:val="00EE6B78"/>
    <w:rsid w:val="00EF2882"/>
    <w:rsid w:val="00EF3BB9"/>
    <w:rsid w:val="00EF5C6A"/>
    <w:rsid w:val="00F002B3"/>
    <w:rsid w:val="00F01977"/>
    <w:rsid w:val="00F028A8"/>
    <w:rsid w:val="00F04B29"/>
    <w:rsid w:val="00F07186"/>
    <w:rsid w:val="00F076DB"/>
    <w:rsid w:val="00F07C29"/>
    <w:rsid w:val="00F11399"/>
    <w:rsid w:val="00F118D8"/>
    <w:rsid w:val="00F1282E"/>
    <w:rsid w:val="00F128AE"/>
    <w:rsid w:val="00F20F7F"/>
    <w:rsid w:val="00F22A8D"/>
    <w:rsid w:val="00F2381B"/>
    <w:rsid w:val="00F25219"/>
    <w:rsid w:val="00F271C1"/>
    <w:rsid w:val="00F31296"/>
    <w:rsid w:val="00F312FD"/>
    <w:rsid w:val="00F33707"/>
    <w:rsid w:val="00F33A23"/>
    <w:rsid w:val="00F372F3"/>
    <w:rsid w:val="00F40DEB"/>
    <w:rsid w:val="00F416AE"/>
    <w:rsid w:val="00F42788"/>
    <w:rsid w:val="00F42D30"/>
    <w:rsid w:val="00F439E5"/>
    <w:rsid w:val="00F44101"/>
    <w:rsid w:val="00F44163"/>
    <w:rsid w:val="00F450AF"/>
    <w:rsid w:val="00F45BF9"/>
    <w:rsid w:val="00F46ABF"/>
    <w:rsid w:val="00F4719A"/>
    <w:rsid w:val="00F477AF"/>
    <w:rsid w:val="00F521B6"/>
    <w:rsid w:val="00F6382E"/>
    <w:rsid w:val="00F64F8F"/>
    <w:rsid w:val="00F64FDC"/>
    <w:rsid w:val="00F72A8A"/>
    <w:rsid w:val="00F737F1"/>
    <w:rsid w:val="00F81045"/>
    <w:rsid w:val="00F875D8"/>
    <w:rsid w:val="00F90479"/>
    <w:rsid w:val="00F933B5"/>
    <w:rsid w:val="00F93BB8"/>
    <w:rsid w:val="00FA0064"/>
    <w:rsid w:val="00FA07AE"/>
    <w:rsid w:val="00FA16C6"/>
    <w:rsid w:val="00FA3D7F"/>
    <w:rsid w:val="00FA57E0"/>
    <w:rsid w:val="00FC1883"/>
    <w:rsid w:val="00FC1C13"/>
    <w:rsid w:val="00FC2717"/>
    <w:rsid w:val="00FC3D27"/>
    <w:rsid w:val="00FC620A"/>
    <w:rsid w:val="00FC71C8"/>
    <w:rsid w:val="00FD003F"/>
    <w:rsid w:val="00FD0A5D"/>
    <w:rsid w:val="00FD0D9F"/>
    <w:rsid w:val="00FD15AE"/>
    <w:rsid w:val="00FD1640"/>
    <w:rsid w:val="00FD1D28"/>
    <w:rsid w:val="00FD2386"/>
    <w:rsid w:val="00FD3C9A"/>
    <w:rsid w:val="00FD41B1"/>
    <w:rsid w:val="00FD62CA"/>
    <w:rsid w:val="00FE01E7"/>
    <w:rsid w:val="00FF2D85"/>
    <w:rsid w:val="00FF48AE"/>
    <w:rsid w:val="00FF7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E7541"/>
  <w15:chartTrackingRefBased/>
  <w15:docId w15:val="{53EFDEF8-13E6-4B2C-B287-D41F4587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C16"/>
  </w:style>
  <w:style w:type="paragraph" w:styleId="Heading8">
    <w:name w:val="heading 8"/>
    <w:basedOn w:val="Normal"/>
    <w:next w:val="Normal"/>
    <w:link w:val="Heading8Char"/>
    <w:uiPriority w:val="9"/>
    <w:semiHidden/>
    <w:unhideWhenUsed/>
    <w:qFormat/>
    <w:rsid w:val="00C0549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49F"/>
    <w:pPr>
      <w:tabs>
        <w:tab w:val="center" w:pos="4513"/>
        <w:tab w:val="right" w:pos="9026"/>
      </w:tabs>
    </w:pPr>
  </w:style>
  <w:style w:type="character" w:customStyle="1" w:styleId="HeaderChar">
    <w:name w:val="Header Char"/>
    <w:basedOn w:val="DefaultParagraphFont"/>
    <w:link w:val="Header"/>
    <w:uiPriority w:val="99"/>
    <w:rsid w:val="00C0549F"/>
  </w:style>
  <w:style w:type="paragraph" w:styleId="Footer">
    <w:name w:val="footer"/>
    <w:basedOn w:val="Normal"/>
    <w:link w:val="FooterChar"/>
    <w:uiPriority w:val="99"/>
    <w:unhideWhenUsed/>
    <w:rsid w:val="00C0549F"/>
    <w:pPr>
      <w:tabs>
        <w:tab w:val="center" w:pos="4513"/>
        <w:tab w:val="right" w:pos="9026"/>
      </w:tabs>
    </w:pPr>
  </w:style>
  <w:style w:type="character" w:customStyle="1" w:styleId="FooterChar">
    <w:name w:val="Footer Char"/>
    <w:basedOn w:val="DefaultParagraphFont"/>
    <w:link w:val="Footer"/>
    <w:uiPriority w:val="99"/>
    <w:rsid w:val="00C0549F"/>
  </w:style>
  <w:style w:type="character" w:customStyle="1" w:styleId="Heading8Char">
    <w:name w:val="Heading 8 Char"/>
    <w:basedOn w:val="DefaultParagraphFont"/>
    <w:link w:val="Heading8"/>
    <w:uiPriority w:val="9"/>
    <w:rsid w:val="00C0549F"/>
    <w:rPr>
      <w:rFonts w:asciiTheme="majorHAnsi" w:eastAsiaTheme="majorEastAsia" w:hAnsiTheme="majorHAnsi" w:cstheme="majorBidi"/>
      <w:color w:val="272727" w:themeColor="text1" w:themeTint="D8"/>
      <w:sz w:val="21"/>
      <w:szCs w:val="21"/>
    </w:rPr>
  </w:style>
  <w:style w:type="paragraph" w:styleId="ListParagraph">
    <w:name w:val="List Paragraph"/>
    <w:aliases w:val="F5 List Paragraph,List Paragraph2,MAIN CONTENT,List Paragraph12,Dot pt,List Paragraph1,No Spacing1,List Paragraph Char Char Char,Indicator Text,Numbered Para 1,Bullet Points,Bullet 1,Normal numbered,OBC Bullet,Colorful List - Accent 11,L"/>
    <w:basedOn w:val="Normal"/>
    <w:link w:val="ListParagraphChar"/>
    <w:uiPriority w:val="34"/>
    <w:qFormat/>
    <w:rsid w:val="00501350"/>
    <w:pPr>
      <w:ind w:left="720"/>
      <w:contextualSpacing/>
    </w:pPr>
  </w:style>
  <w:style w:type="paragraph" w:styleId="NoSpacing">
    <w:name w:val="No Spacing"/>
    <w:uiPriority w:val="1"/>
    <w:qFormat/>
    <w:rsid w:val="001C5AD0"/>
  </w:style>
  <w:style w:type="paragraph" w:styleId="Title">
    <w:name w:val="Title"/>
    <w:basedOn w:val="Normal"/>
    <w:next w:val="Normal"/>
    <w:link w:val="TitleChar"/>
    <w:uiPriority w:val="99"/>
    <w:qFormat/>
    <w:rsid w:val="008F77BA"/>
    <w:pPr>
      <w:spacing w:before="240" w:after="60"/>
      <w:ind w:left="34" w:hanging="425"/>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99"/>
    <w:rsid w:val="008F77BA"/>
    <w:rPr>
      <w:rFonts w:ascii="Cambria" w:eastAsia="Times New Roman" w:hAnsi="Cambria" w:cs="Times New Roman"/>
      <w:b/>
      <w:bCs/>
      <w:kern w:val="28"/>
      <w:sz w:val="32"/>
      <w:szCs w:val="32"/>
    </w:rPr>
  </w:style>
  <w:style w:type="paragraph" w:styleId="Subtitle">
    <w:name w:val="Subtitle"/>
    <w:basedOn w:val="Normal"/>
    <w:next w:val="Normal"/>
    <w:link w:val="SubtitleChar"/>
    <w:uiPriority w:val="99"/>
    <w:qFormat/>
    <w:rsid w:val="008F77BA"/>
    <w:pPr>
      <w:spacing w:after="60"/>
      <w:ind w:left="504" w:hanging="425"/>
      <w:jc w:val="center"/>
      <w:outlineLvl w:val="1"/>
    </w:pPr>
    <w:rPr>
      <w:rFonts w:ascii="Cambria" w:eastAsia="Times New Roman" w:hAnsi="Cambria" w:cs="Times New Roman"/>
      <w:sz w:val="24"/>
      <w:szCs w:val="24"/>
      <w:lang w:eastAsia="en-GB"/>
    </w:rPr>
  </w:style>
  <w:style w:type="character" w:customStyle="1" w:styleId="SubtitleChar">
    <w:name w:val="Subtitle Char"/>
    <w:basedOn w:val="DefaultParagraphFont"/>
    <w:link w:val="Subtitle"/>
    <w:uiPriority w:val="99"/>
    <w:rsid w:val="008F77BA"/>
    <w:rPr>
      <w:rFonts w:ascii="Cambria" w:eastAsia="Times New Roman" w:hAnsi="Cambria" w:cs="Times New Roman"/>
      <w:sz w:val="24"/>
      <w:szCs w:val="24"/>
      <w:lang w:eastAsia="en-GB"/>
    </w:rPr>
  </w:style>
  <w:style w:type="paragraph" w:styleId="BodyText">
    <w:name w:val="Body Text"/>
    <w:basedOn w:val="Normal"/>
    <w:link w:val="BodyTextChar"/>
    <w:uiPriority w:val="1"/>
    <w:qFormat/>
    <w:rsid w:val="008F77BA"/>
    <w:pPr>
      <w:ind w:left="504" w:hanging="425"/>
      <w:jc w:val="both"/>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uiPriority w:val="1"/>
    <w:rsid w:val="008F77BA"/>
    <w:rPr>
      <w:rFonts w:ascii="Times New Roman" w:eastAsia="Times New Roman" w:hAnsi="Times New Roman" w:cs="Times New Roman"/>
      <w:sz w:val="24"/>
      <w:szCs w:val="20"/>
      <w:lang w:eastAsia="en-GB"/>
    </w:rPr>
  </w:style>
  <w:style w:type="paragraph" w:styleId="BodyText2">
    <w:name w:val="Body Text 2"/>
    <w:basedOn w:val="Normal"/>
    <w:link w:val="BodyText2Char1"/>
    <w:uiPriority w:val="99"/>
    <w:semiHidden/>
    <w:rsid w:val="008F77BA"/>
    <w:pPr>
      <w:spacing w:after="120"/>
      <w:ind w:left="283" w:hanging="425"/>
      <w:jc w:val="both"/>
    </w:pPr>
    <w:rPr>
      <w:rFonts w:ascii="Times New Roman" w:eastAsia="Calibri" w:hAnsi="Times New Roman" w:cs="Times New Roman"/>
      <w:sz w:val="24"/>
      <w:lang w:eastAsia="en-GB"/>
    </w:rPr>
  </w:style>
  <w:style w:type="character" w:customStyle="1" w:styleId="BodyText2Char">
    <w:name w:val="Body Text 2 Char"/>
    <w:basedOn w:val="DefaultParagraphFont"/>
    <w:uiPriority w:val="99"/>
    <w:semiHidden/>
    <w:rsid w:val="008F77BA"/>
  </w:style>
  <w:style w:type="paragraph" w:styleId="BodyTextIndent2">
    <w:name w:val="Body Text Indent 2"/>
    <w:basedOn w:val="Normal"/>
    <w:link w:val="BodyTextIndent2Char"/>
    <w:uiPriority w:val="99"/>
    <w:rsid w:val="008F77BA"/>
    <w:pPr>
      <w:ind w:left="7088" w:hanging="425"/>
      <w:jc w:val="both"/>
    </w:pPr>
    <w:rPr>
      <w:rFonts w:ascii="Times New Roman" w:eastAsia="Times New Roman" w:hAnsi="Times New Roman" w:cs="Times New Roman"/>
      <w:sz w:val="24"/>
      <w:szCs w:val="20"/>
      <w:lang w:eastAsia="en-GB"/>
    </w:rPr>
  </w:style>
  <w:style w:type="character" w:customStyle="1" w:styleId="BodyTextIndent2Char">
    <w:name w:val="Body Text Indent 2 Char"/>
    <w:basedOn w:val="DefaultParagraphFont"/>
    <w:link w:val="BodyTextIndent2"/>
    <w:uiPriority w:val="99"/>
    <w:rsid w:val="008F77BA"/>
    <w:rPr>
      <w:rFonts w:ascii="Times New Roman" w:eastAsia="Times New Roman" w:hAnsi="Times New Roman" w:cs="Times New Roman"/>
      <w:sz w:val="24"/>
      <w:szCs w:val="20"/>
      <w:lang w:eastAsia="en-GB"/>
    </w:rPr>
  </w:style>
  <w:style w:type="character" w:customStyle="1" w:styleId="BodyText2Char1">
    <w:name w:val="Body Text 2 Char1"/>
    <w:basedOn w:val="DefaultParagraphFont"/>
    <w:link w:val="BodyText2"/>
    <w:uiPriority w:val="99"/>
    <w:semiHidden/>
    <w:rsid w:val="008F77BA"/>
    <w:rPr>
      <w:rFonts w:ascii="Times New Roman" w:eastAsia="Calibri" w:hAnsi="Times New Roman" w:cs="Times New Roman"/>
      <w:sz w:val="24"/>
      <w:lang w:eastAsia="en-GB"/>
    </w:rPr>
  </w:style>
  <w:style w:type="paragraph" w:styleId="BodyTextIndent">
    <w:name w:val="Body Text Indent"/>
    <w:basedOn w:val="Normal"/>
    <w:link w:val="BodyTextIndentChar"/>
    <w:uiPriority w:val="99"/>
    <w:semiHidden/>
    <w:unhideWhenUsed/>
    <w:rsid w:val="008F77BA"/>
    <w:pPr>
      <w:spacing w:after="120"/>
      <w:ind w:left="283"/>
    </w:pPr>
  </w:style>
  <w:style w:type="character" w:customStyle="1" w:styleId="BodyTextIndentChar">
    <w:name w:val="Body Text Indent Char"/>
    <w:basedOn w:val="DefaultParagraphFont"/>
    <w:link w:val="BodyTextIndent"/>
    <w:uiPriority w:val="99"/>
    <w:semiHidden/>
    <w:rsid w:val="008F77BA"/>
  </w:style>
  <w:style w:type="paragraph" w:styleId="BodyTextFirstIndent2">
    <w:name w:val="Body Text First Indent 2"/>
    <w:basedOn w:val="BodyText2"/>
    <w:link w:val="BodyTextFirstIndent2Char"/>
    <w:uiPriority w:val="99"/>
    <w:rsid w:val="008F77BA"/>
    <w:pPr>
      <w:ind w:firstLine="210"/>
    </w:pPr>
    <w:rPr>
      <w:rFonts w:eastAsia="Times New Roman"/>
      <w:szCs w:val="20"/>
    </w:rPr>
  </w:style>
  <w:style w:type="character" w:customStyle="1" w:styleId="BodyTextFirstIndent2Char">
    <w:name w:val="Body Text First Indent 2 Char"/>
    <w:basedOn w:val="BodyTextIndentChar"/>
    <w:link w:val="BodyTextFirstIndent2"/>
    <w:uiPriority w:val="99"/>
    <w:rsid w:val="008F77BA"/>
    <w:rPr>
      <w:rFonts w:ascii="Times New Roman" w:eastAsia="Times New Roman" w:hAnsi="Times New Roman" w:cs="Times New Roman"/>
      <w:sz w:val="24"/>
      <w:szCs w:val="20"/>
      <w:lang w:eastAsia="en-GB"/>
    </w:rPr>
  </w:style>
  <w:style w:type="character" w:customStyle="1" w:styleId="ListParagraphChar">
    <w:name w:val="List Paragraph Char"/>
    <w:aliases w:val="F5 List Paragraph Char,List Paragraph2 Char,MAIN CONTENT Char,List Paragraph12 Char,Dot pt Char,List Paragraph1 Char,No Spacing1 Char,List Paragraph Char Char Char Char,Indicator Text Char,Numbered Para 1 Char,Bullet Points Char"/>
    <w:link w:val="ListParagraph"/>
    <w:uiPriority w:val="34"/>
    <w:qFormat/>
    <w:rsid w:val="008F77BA"/>
  </w:style>
  <w:style w:type="paragraph" w:styleId="BodyTextIndent3">
    <w:name w:val="Body Text Indent 3"/>
    <w:basedOn w:val="Normal"/>
    <w:link w:val="BodyTextIndent3Char"/>
    <w:uiPriority w:val="99"/>
    <w:unhideWhenUsed/>
    <w:rsid w:val="008F77BA"/>
    <w:pPr>
      <w:ind w:left="1026" w:hanging="425"/>
      <w:jc w:val="both"/>
    </w:pPr>
    <w:rPr>
      <w:rFonts w:ascii="Century" w:eastAsia="Calibri" w:hAnsi="Century" w:cs="Times New Roman"/>
      <w:sz w:val="24"/>
      <w:lang w:eastAsia="en-GB"/>
    </w:rPr>
  </w:style>
  <w:style w:type="character" w:customStyle="1" w:styleId="BodyTextIndent3Char">
    <w:name w:val="Body Text Indent 3 Char"/>
    <w:basedOn w:val="DefaultParagraphFont"/>
    <w:link w:val="BodyTextIndent3"/>
    <w:uiPriority w:val="99"/>
    <w:rsid w:val="008F77BA"/>
    <w:rPr>
      <w:rFonts w:ascii="Century" w:eastAsia="Calibri" w:hAnsi="Century" w:cs="Times New Roman"/>
      <w:sz w:val="24"/>
      <w:lang w:eastAsia="en-GB"/>
    </w:rPr>
  </w:style>
  <w:style w:type="paragraph" w:styleId="NormalWeb">
    <w:name w:val="Normal (Web)"/>
    <w:basedOn w:val="Normal"/>
    <w:unhideWhenUsed/>
    <w:qFormat/>
    <w:rsid w:val="006B318B"/>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B2290"/>
    <w:rPr>
      <w:color w:val="0000FF"/>
      <w:u w:val="single"/>
    </w:rPr>
  </w:style>
  <w:style w:type="character" w:styleId="UnresolvedMention">
    <w:name w:val="Unresolved Mention"/>
    <w:basedOn w:val="DefaultParagraphFont"/>
    <w:uiPriority w:val="99"/>
    <w:semiHidden/>
    <w:unhideWhenUsed/>
    <w:rsid w:val="002A118E"/>
    <w:rPr>
      <w:color w:val="605E5C"/>
      <w:shd w:val="clear" w:color="auto" w:fill="E1DFDD"/>
    </w:rPr>
  </w:style>
  <w:style w:type="paragraph" w:styleId="BalloonText">
    <w:name w:val="Balloon Text"/>
    <w:basedOn w:val="Normal"/>
    <w:link w:val="BalloonTextChar"/>
    <w:uiPriority w:val="99"/>
    <w:semiHidden/>
    <w:unhideWhenUsed/>
    <w:rsid w:val="00AE51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5142"/>
    <w:rPr>
      <w:rFonts w:ascii="Segoe UI" w:hAnsi="Segoe UI" w:cs="Segoe UI"/>
      <w:sz w:val="18"/>
      <w:szCs w:val="18"/>
    </w:rPr>
  </w:style>
  <w:style w:type="paragraph" w:styleId="Revision">
    <w:name w:val="Revision"/>
    <w:hidden/>
    <w:uiPriority w:val="99"/>
    <w:semiHidden/>
    <w:rsid w:val="008B4828"/>
  </w:style>
  <w:style w:type="table" w:styleId="TableGrid">
    <w:name w:val="Table Grid"/>
    <w:basedOn w:val="TableNormal"/>
    <w:uiPriority w:val="39"/>
    <w:rsid w:val="00595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6382E"/>
    <w:rPr>
      <w:sz w:val="16"/>
      <w:szCs w:val="16"/>
    </w:rPr>
  </w:style>
  <w:style w:type="paragraph" w:styleId="CommentText">
    <w:name w:val="annotation text"/>
    <w:basedOn w:val="Normal"/>
    <w:link w:val="CommentTextChar"/>
    <w:uiPriority w:val="99"/>
    <w:unhideWhenUsed/>
    <w:rsid w:val="00F6382E"/>
    <w:rPr>
      <w:sz w:val="20"/>
      <w:szCs w:val="20"/>
    </w:rPr>
  </w:style>
  <w:style w:type="character" w:customStyle="1" w:styleId="CommentTextChar">
    <w:name w:val="Comment Text Char"/>
    <w:basedOn w:val="DefaultParagraphFont"/>
    <w:link w:val="CommentText"/>
    <w:uiPriority w:val="99"/>
    <w:rsid w:val="00F6382E"/>
    <w:rPr>
      <w:sz w:val="20"/>
      <w:szCs w:val="20"/>
    </w:rPr>
  </w:style>
  <w:style w:type="paragraph" w:styleId="CommentSubject">
    <w:name w:val="annotation subject"/>
    <w:basedOn w:val="CommentText"/>
    <w:next w:val="CommentText"/>
    <w:link w:val="CommentSubjectChar"/>
    <w:uiPriority w:val="99"/>
    <w:semiHidden/>
    <w:unhideWhenUsed/>
    <w:rsid w:val="00F6382E"/>
    <w:rPr>
      <w:b/>
      <w:bCs/>
    </w:rPr>
  </w:style>
  <w:style w:type="character" w:customStyle="1" w:styleId="CommentSubjectChar">
    <w:name w:val="Comment Subject Char"/>
    <w:basedOn w:val="CommentTextChar"/>
    <w:link w:val="CommentSubject"/>
    <w:uiPriority w:val="99"/>
    <w:semiHidden/>
    <w:rsid w:val="00F6382E"/>
    <w:rPr>
      <w:b/>
      <w:bCs/>
      <w:sz w:val="20"/>
      <w:szCs w:val="20"/>
    </w:rPr>
  </w:style>
  <w:style w:type="table" w:customStyle="1" w:styleId="TableGrid1">
    <w:name w:val="Table Grid1"/>
    <w:basedOn w:val="TableNormal"/>
    <w:next w:val="TableGrid"/>
    <w:uiPriority w:val="39"/>
    <w:rsid w:val="00C337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E5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B7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68">
    <w:name w:val="Imported Style 68"/>
    <w:rsid w:val="00CF3A7C"/>
    <w:pPr>
      <w:numPr>
        <w:numId w:val="6"/>
      </w:numPr>
    </w:pPr>
  </w:style>
  <w:style w:type="character" w:customStyle="1" w:styleId="elementtoproof">
    <w:name w:val="elementtoproof"/>
    <w:basedOn w:val="DefaultParagraphFont"/>
    <w:rsid w:val="00C20A66"/>
  </w:style>
  <w:style w:type="paragraph" w:customStyle="1" w:styleId="xmsonormal">
    <w:name w:val="x_msonormal"/>
    <w:basedOn w:val="Normal"/>
    <w:rsid w:val="00D1338F"/>
    <w:rPr>
      <w:rFonts w:ascii="Aptos" w:hAnsi="Aptos" w:cs="Calibri"/>
      <w:sz w:val="24"/>
      <w:szCs w:val="24"/>
      <w:lang w:eastAsia="en-GB"/>
    </w:rPr>
  </w:style>
  <w:style w:type="table" w:customStyle="1" w:styleId="TableGrid4">
    <w:name w:val="Table Grid4"/>
    <w:basedOn w:val="TableNormal"/>
    <w:next w:val="TableGrid"/>
    <w:uiPriority w:val="39"/>
    <w:rsid w:val="004E0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11874"/>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10106">
      <w:bodyDiv w:val="1"/>
      <w:marLeft w:val="0"/>
      <w:marRight w:val="0"/>
      <w:marTop w:val="0"/>
      <w:marBottom w:val="0"/>
      <w:divBdr>
        <w:top w:val="none" w:sz="0" w:space="0" w:color="auto"/>
        <w:left w:val="none" w:sz="0" w:space="0" w:color="auto"/>
        <w:bottom w:val="none" w:sz="0" w:space="0" w:color="auto"/>
        <w:right w:val="none" w:sz="0" w:space="0" w:color="auto"/>
      </w:divBdr>
    </w:div>
    <w:div w:id="48043253">
      <w:bodyDiv w:val="1"/>
      <w:marLeft w:val="0"/>
      <w:marRight w:val="0"/>
      <w:marTop w:val="0"/>
      <w:marBottom w:val="0"/>
      <w:divBdr>
        <w:top w:val="none" w:sz="0" w:space="0" w:color="auto"/>
        <w:left w:val="none" w:sz="0" w:space="0" w:color="auto"/>
        <w:bottom w:val="none" w:sz="0" w:space="0" w:color="auto"/>
        <w:right w:val="none" w:sz="0" w:space="0" w:color="auto"/>
      </w:divBdr>
    </w:div>
    <w:div w:id="56898651">
      <w:bodyDiv w:val="1"/>
      <w:marLeft w:val="0"/>
      <w:marRight w:val="0"/>
      <w:marTop w:val="0"/>
      <w:marBottom w:val="0"/>
      <w:divBdr>
        <w:top w:val="none" w:sz="0" w:space="0" w:color="auto"/>
        <w:left w:val="none" w:sz="0" w:space="0" w:color="auto"/>
        <w:bottom w:val="none" w:sz="0" w:space="0" w:color="auto"/>
        <w:right w:val="none" w:sz="0" w:space="0" w:color="auto"/>
      </w:divBdr>
    </w:div>
    <w:div w:id="71004037">
      <w:bodyDiv w:val="1"/>
      <w:marLeft w:val="0"/>
      <w:marRight w:val="0"/>
      <w:marTop w:val="0"/>
      <w:marBottom w:val="0"/>
      <w:divBdr>
        <w:top w:val="none" w:sz="0" w:space="0" w:color="auto"/>
        <w:left w:val="none" w:sz="0" w:space="0" w:color="auto"/>
        <w:bottom w:val="none" w:sz="0" w:space="0" w:color="auto"/>
        <w:right w:val="none" w:sz="0" w:space="0" w:color="auto"/>
      </w:divBdr>
    </w:div>
    <w:div w:id="71048330">
      <w:bodyDiv w:val="1"/>
      <w:marLeft w:val="0"/>
      <w:marRight w:val="0"/>
      <w:marTop w:val="0"/>
      <w:marBottom w:val="0"/>
      <w:divBdr>
        <w:top w:val="none" w:sz="0" w:space="0" w:color="auto"/>
        <w:left w:val="none" w:sz="0" w:space="0" w:color="auto"/>
        <w:bottom w:val="none" w:sz="0" w:space="0" w:color="auto"/>
        <w:right w:val="none" w:sz="0" w:space="0" w:color="auto"/>
      </w:divBdr>
    </w:div>
    <w:div w:id="251595072">
      <w:bodyDiv w:val="1"/>
      <w:marLeft w:val="0"/>
      <w:marRight w:val="0"/>
      <w:marTop w:val="0"/>
      <w:marBottom w:val="0"/>
      <w:divBdr>
        <w:top w:val="none" w:sz="0" w:space="0" w:color="auto"/>
        <w:left w:val="none" w:sz="0" w:space="0" w:color="auto"/>
        <w:bottom w:val="none" w:sz="0" w:space="0" w:color="auto"/>
        <w:right w:val="none" w:sz="0" w:space="0" w:color="auto"/>
      </w:divBdr>
    </w:div>
    <w:div w:id="261841028">
      <w:bodyDiv w:val="1"/>
      <w:marLeft w:val="0"/>
      <w:marRight w:val="0"/>
      <w:marTop w:val="0"/>
      <w:marBottom w:val="0"/>
      <w:divBdr>
        <w:top w:val="none" w:sz="0" w:space="0" w:color="auto"/>
        <w:left w:val="none" w:sz="0" w:space="0" w:color="auto"/>
        <w:bottom w:val="none" w:sz="0" w:space="0" w:color="auto"/>
        <w:right w:val="none" w:sz="0" w:space="0" w:color="auto"/>
      </w:divBdr>
    </w:div>
    <w:div w:id="323751980">
      <w:bodyDiv w:val="1"/>
      <w:marLeft w:val="0"/>
      <w:marRight w:val="0"/>
      <w:marTop w:val="0"/>
      <w:marBottom w:val="0"/>
      <w:divBdr>
        <w:top w:val="none" w:sz="0" w:space="0" w:color="auto"/>
        <w:left w:val="none" w:sz="0" w:space="0" w:color="auto"/>
        <w:bottom w:val="none" w:sz="0" w:space="0" w:color="auto"/>
        <w:right w:val="none" w:sz="0" w:space="0" w:color="auto"/>
      </w:divBdr>
      <w:divsChild>
        <w:div w:id="845942303">
          <w:marLeft w:val="0"/>
          <w:marRight w:val="0"/>
          <w:marTop w:val="0"/>
          <w:marBottom w:val="0"/>
          <w:divBdr>
            <w:top w:val="none" w:sz="0" w:space="0" w:color="auto"/>
            <w:left w:val="none" w:sz="0" w:space="0" w:color="auto"/>
            <w:bottom w:val="none" w:sz="0" w:space="0" w:color="auto"/>
            <w:right w:val="none" w:sz="0" w:space="0" w:color="auto"/>
          </w:divBdr>
        </w:div>
        <w:div w:id="1513184428">
          <w:marLeft w:val="0"/>
          <w:marRight w:val="0"/>
          <w:marTop w:val="0"/>
          <w:marBottom w:val="0"/>
          <w:divBdr>
            <w:top w:val="none" w:sz="0" w:space="0" w:color="auto"/>
            <w:left w:val="none" w:sz="0" w:space="0" w:color="auto"/>
            <w:bottom w:val="none" w:sz="0" w:space="0" w:color="auto"/>
            <w:right w:val="none" w:sz="0" w:space="0" w:color="auto"/>
          </w:divBdr>
        </w:div>
        <w:div w:id="1663124488">
          <w:marLeft w:val="0"/>
          <w:marRight w:val="0"/>
          <w:marTop w:val="0"/>
          <w:marBottom w:val="0"/>
          <w:divBdr>
            <w:top w:val="none" w:sz="0" w:space="0" w:color="auto"/>
            <w:left w:val="none" w:sz="0" w:space="0" w:color="auto"/>
            <w:bottom w:val="none" w:sz="0" w:space="0" w:color="auto"/>
            <w:right w:val="none" w:sz="0" w:space="0" w:color="auto"/>
          </w:divBdr>
        </w:div>
        <w:div w:id="1895000572">
          <w:marLeft w:val="0"/>
          <w:marRight w:val="0"/>
          <w:marTop w:val="0"/>
          <w:marBottom w:val="0"/>
          <w:divBdr>
            <w:top w:val="none" w:sz="0" w:space="0" w:color="auto"/>
            <w:left w:val="none" w:sz="0" w:space="0" w:color="auto"/>
            <w:bottom w:val="none" w:sz="0" w:space="0" w:color="auto"/>
            <w:right w:val="none" w:sz="0" w:space="0" w:color="auto"/>
          </w:divBdr>
        </w:div>
        <w:div w:id="126247383">
          <w:marLeft w:val="0"/>
          <w:marRight w:val="0"/>
          <w:marTop w:val="0"/>
          <w:marBottom w:val="0"/>
          <w:divBdr>
            <w:top w:val="none" w:sz="0" w:space="0" w:color="auto"/>
            <w:left w:val="none" w:sz="0" w:space="0" w:color="auto"/>
            <w:bottom w:val="none" w:sz="0" w:space="0" w:color="auto"/>
            <w:right w:val="none" w:sz="0" w:space="0" w:color="auto"/>
          </w:divBdr>
        </w:div>
        <w:div w:id="739521955">
          <w:marLeft w:val="0"/>
          <w:marRight w:val="0"/>
          <w:marTop w:val="0"/>
          <w:marBottom w:val="0"/>
          <w:divBdr>
            <w:top w:val="none" w:sz="0" w:space="0" w:color="auto"/>
            <w:left w:val="none" w:sz="0" w:space="0" w:color="auto"/>
            <w:bottom w:val="none" w:sz="0" w:space="0" w:color="auto"/>
            <w:right w:val="none" w:sz="0" w:space="0" w:color="auto"/>
          </w:divBdr>
        </w:div>
        <w:div w:id="1254363538">
          <w:marLeft w:val="0"/>
          <w:marRight w:val="0"/>
          <w:marTop w:val="0"/>
          <w:marBottom w:val="0"/>
          <w:divBdr>
            <w:top w:val="none" w:sz="0" w:space="0" w:color="auto"/>
            <w:left w:val="none" w:sz="0" w:space="0" w:color="auto"/>
            <w:bottom w:val="none" w:sz="0" w:space="0" w:color="auto"/>
            <w:right w:val="none" w:sz="0" w:space="0" w:color="auto"/>
          </w:divBdr>
        </w:div>
      </w:divsChild>
    </w:div>
    <w:div w:id="338852050">
      <w:bodyDiv w:val="1"/>
      <w:marLeft w:val="0"/>
      <w:marRight w:val="0"/>
      <w:marTop w:val="0"/>
      <w:marBottom w:val="0"/>
      <w:divBdr>
        <w:top w:val="none" w:sz="0" w:space="0" w:color="auto"/>
        <w:left w:val="none" w:sz="0" w:space="0" w:color="auto"/>
        <w:bottom w:val="none" w:sz="0" w:space="0" w:color="auto"/>
        <w:right w:val="none" w:sz="0" w:space="0" w:color="auto"/>
      </w:divBdr>
    </w:div>
    <w:div w:id="340475970">
      <w:bodyDiv w:val="1"/>
      <w:marLeft w:val="0"/>
      <w:marRight w:val="0"/>
      <w:marTop w:val="0"/>
      <w:marBottom w:val="0"/>
      <w:divBdr>
        <w:top w:val="none" w:sz="0" w:space="0" w:color="auto"/>
        <w:left w:val="none" w:sz="0" w:space="0" w:color="auto"/>
        <w:bottom w:val="none" w:sz="0" w:space="0" w:color="auto"/>
        <w:right w:val="none" w:sz="0" w:space="0" w:color="auto"/>
      </w:divBdr>
    </w:div>
    <w:div w:id="342169818">
      <w:bodyDiv w:val="1"/>
      <w:marLeft w:val="0"/>
      <w:marRight w:val="0"/>
      <w:marTop w:val="0"/>
      <w:marBottom w:val="0"/>
      <w:divBdr>
        <w:top w:val="none" w:sz="0" w:space="0" w:color="auto"/>
        <w:left w:val="none" w:sz="0" w:space="0" w:color="auto"/>
        <w:bottom w:val="none" w:sz="0" w:space="0" w:color="auto"/>
        <w:right w:val="none" w:sz="0" w:space="0" w:color="auto"/>
      </w:divBdr>
    </w:div>
    <w:div w:id="345132783">
      <w:bodyDiv w:val="1"/>
      <w:marLeft w:val="0"/>
      <w:marRight w:val="0"/>
      <w:marTop w:val="0"/>
      <w:marBottom w:val="0"/>
      <w:divBdr>
        <w:top w:val="none" w:sz="0" w:space="0" w:color="auto"/>
        <w:left w:val="none" w:sz="0" w:space="0" w:color="auto"/>
        <w:bottom w:val="none" w:sz="0" w:space="0" w:color="auto"/>
        <w:right w:val="none" w:sz="0" w:space="0" w:color="auto"/>
      </w:divBdr>
    </w:div>
    <w:div w:id="385757641">
      <w:bodyDiv w:val="1"/>
      <w:marLeft w:val="0"/>
      <w:marRight w:val="0"/>
      <w:marTop w:val="0"/>
      <w:marBottom w:val="0"/>
      <w:divBdr>
        <w:top w:val="none" w:sz="0" w:space="0" w:color="auto"/>
        <w:left w:val="none" w:sz="0" w:space="0" w:color="auto"/>
        <w:bottom w:val="none" w:sz="0" w:space="0" w:color="auto"/>
        <w:right w:val="none" w:sz="0" w:space="0" w:color="auto"/>
      </w:divBdr>
    </w:div>
    <w:div w:id="387384249">
      <w:bodyDiv w:val="1"/>
      <w:marLeft w:val="0"/>
      <w:marRight w:val="0"/>
      <w:marTop w:val="0"/>
      <w:marBottom w:val="0"/>
      <w:divBdr>
        <w:top w:val="none" w:sz="0" w:space="0" w:color="auto"/>
        <w:left w:val="none" w:sz="0" w:space="0" w:color="auto"/>
        <w:bottom w:val="none" w:sz="0" w:space="0" w:color="auto"/>
        <w:right w:val="none" w:sz="0" w:space="0" w:color="auto"/>
      </w:divBdr>
      <w:divsChild>
        <w:div w:id="709377243">
          <w:marLeft w:val="0"/>
          <w:marRight w:val="0"/>
          <w:marTop w:val="0"/>
          <w:marBottom w:val="0"/>
          <w:divBdr>
            <w:top w:val="none" w:sz="0" w:space="0" w:color="auto"/>
            <w:left w:val="none" w:sz="0" w:space="0" w:color="auto"/>
            <w:bottom w:val="none" w:sz="0" w:space="0" w:color="auto"/>
            <w:right w:val="none" w:sz="0" w:space="0" w:color="auto"/>
          </w:divBdr>
        </w:div>
        <w:div w:id="983125192">
          <w:marLeft w:val="0"/>
          <w:marRight w:val="0"/>
          <w:marTop w:val="0"/>
          <w:marBottom w:val="0"/>
          <w:divBdr>
            <w:top w:val="none" w:sz="0" w:space="0" w:color="auto"/>
            <w:left w:val="none" w:sz="0" w:space="0" w:color="auto"/>
            <w:bottom w:val="none" w:sz="0" w:space="0" w:color="auto"/>
            <w:right w:val="none" w:sz="0" w:space="0" w:color="auto"/>
          </w:divBdr>
        </w:div>
        <w:div w:id="607351390">
          <w:marLeft w:val="0"/>
          <w:marRight w:val="0"/>
          <w:marTop w:val="0"/>
          <w:marBottom w:val="0"/>
          <w:divBdr>
            <w:top w:val="none" w:sz="0" w:space="0" w:color="auto"/>
            <w:left w:val="none" w:sz="0" w:space="0" w:color="auto"/>
            <w:bottom w:val="none" w:sz="0" w:space="0" w:color="auto"/>
            <w:right w:val="none" w:sz="0" w:space="0" w:color="auto"/>
          </w:divBdr>
        </w:div>
        <w:div w:id="864830005">
          <w:marLeft w:val="0"/>
          <w:marRight w:val="0"/>
          <w:marTop w:val="0"/>
          <w:marBottom w:val="0"/>
          <w:divBdr>
            <w:top w:val="none" w:sz="0" w:space="0" w:color="auto"/>
            <w:left w:val="none" w:sz="0" w:space="0" w:color="auto"/>
            <w:bottom w:val="none" w:sz="0" w:space="0" w:color="auto"/>
            <w:right w:val="none" w:sz="0" w:space="0" w:color="auto"/>
          </w:divBdr>
        </w:div>
        <w:div w:id="222260017">
          <w:marLeft w:val="0"/>
          <w:marRight w:val="0"/>
          <w:marTop w:val="0"/>
          <w:marBottom w:val="0"/>
          <w:divBdr>
            <w:top w:val="none" w:sz="0" w:space="0" w:color="auto"/>
            <w:left w:val="none" w:sz="0" w:space="0" w:color="auto"/>
            <w:bottom w:val="none" w:sz="0" w:space="0" w:color="auto"/>
            <w:right w:val="none" w:sz="0" w:space="0" w:color="auto"/>
          </w:divBdr>
        </w:div>
        <w:div w:id="1323703136">
          <w:marLeft w:val="0"/>
          <w:marRight w:val="0"/>
          <w:marTop w:val="0"/>
          <w:marBottom w:val="0"/>
          <w:divBdr>
            <w:top w:val="none" w:sz="0" w:space="0" w:color="auto"/>
            <w:left w:val="none" w:sz="0" w:space="0" w:color="auto"/>
            <w:bottom w:val="none" w:sz="0" w:space="0" w:color="auto"/>
            <w:right w:val="none" w:sz="0" w:space="0" w:color="auto"/>
          </w:divBdr>
        </w:div>
        <w:div w:id="1326737990">
          <w:marLeft w:val="0"/>
          <w:marRight w:val="0"/>
          <w:marTop w:val="0"/>
          <w:marBottom w:val="0"/>
          <w:divBdr>
            <w:top w:val="none" w:sz="0" w:space="0" w:color="auto"/>
            <w:left w:val="none" w:sz="0" w:space="0" w:color="auto"/>
            <w:bottom w:val="none" w:sz="0" w:space="0" w:color="auto"/>
            <w:right w:val="none" w:sz="0" w:space="0" w:color="auto"/>
          </w:divBdr>
        </w:div>
      </w:divsChild>
    </w:div>
    <w:div w:id="432634189">
      <w:bodyDiv w:val="1"/>
      <w:marLeft w:val="0"/>
      <w:marRight w:val="0"/>
      <w:marTop w:val="0"/>
      <w:marBottom w:val="0"/>
      <w:divBdr>
        <w:top w:val="none" w:sz="0" w:space="0" w:color="auto"/>
        <w:left w:val="none" w:sz="0" w:space="0" w:color="auto"/>
        <w:bottom w:val="none" w:sz="0" w:space="0" w:color="auto"/>
        <w:right w:val="none" w:sz="0" w:space="0" w:color="auto"/>
      </w:divBdr>
    </w:div>
    <w:div w:id="438333272">
      <w:bodyDiv w:val="1"/>
      <w:marLeft w:val="0"/>
      <w:marRight w:val="0"/>
      <w:marTop w:val="0"/>
      <w:marBottom w:val="0"/>
      <w:divBdr>
        <w:top w:val="none" w:sz="0" w:space="0" w:color="auto"/>
        <w:left w:val="none" w:sz="0" w:space="0" w:color="auto"/>
        <w:bottom w:val="none" w:sz="0" w:space="0" w:color="auto"/>
        <w:right w:val="none" w:sz="0" w:space="0" w:color="auto"/>
      </w:divBdr>
    </w:div>
    <w:div w:id="438525152">
      <w:bodyDiv w:val="1"/>
      <w:marLeft w:val="0"/>
      <w:marRight w:val="0"/>
      <w:marTop w:val="0"/>
      <w:marBottom w:val="0"/>
      <w:divBdr>
        <w:top w:val="none" w:sz="0" w:space="0" w:color="auto"/>
        <w:left w:val="none" w:sz="0" w:space="0" w:color="auto"/>
        <w:bottom w:val="none" w:sz="0" w:space="0" w:color="auto"/>
        <w:right w:val="none" w:sz="0" w:space="0" w:color="auto"/>
      </w:divBdr>
    </w:div>
    <w:div w:id="444277634">
      <w:bodyDiv w:val="1"/>
      <w:marLeft w:val="0"/>
      <w:marRight w:val="0"/>
      <w:marTop w:val="0"/>
      <w:marBottom w:val="0"/>
      <w:divBdr>
        <w:top w:val="none" w:sz="0" w:space="0" w:color="auto"/>
        <w:left w:val="none" w:sz="0" w:space="0" w:color="auto"/>
        <w:bottom w:val="none" w:sz="0" w:space="0" w:color="auto"/>
        <w:right w:val="none" w:sz="0" w:space="0" w:color="auto"/>
      </w:divBdr>
    </w:div>
    <w:div w:id="459569456">
      <w:bodyDiv w:val="1"/>
      <w:marLeft w:val="0"/>
      <w:marRight w:val="0"/>
      <w:marTop w:val="0"/>
      <w:marBottom w:val="0"/>
      <w:divBdr>
        <w:top w:val="none" w:sz="0" w:space="0" w:color="auto"/>
        <w:left w:val="none" w:sz="0" w:space="0" w:color="auto"/>
        <w:bottom w:val="none" w:sz="0" w:space="0" w:color="auto"/>
        <w:right w:val="none" w:sz="0" w:space="0" w:color="auto"/>
      </w:divBdr>
    </w:div>
    <w:div w:id="480460948">
      <w:bodyDiv w:val="1"/>
      <w:marLeft w:val="0"/>
      <w:marRight w:val="0"/>
      <w:marTop w:val="0"/>
      <w:marBottom w:val="0"/>
      <w:divBdr>
        <w:top w:val="none" w:sz="0" w:space="0" w:color="auto"/>
        <w:left w:val="none" w:sz="0" w:space="0" w:color="auto"/>
        <w:bottom w:val="none" w:sz="0" w:space="0" w:color="auto"/>
        <w:right w:val="none" w:sz="0" w:space="0" w:color="auto"/>
      </w:divBdr>
    </w:div>
    <w:div w:id="482937566">
      <w:bodyDiv w:val="1"/>
      <w:marLeft w:val="0"/>
      <w:marRight w:val="0"/>
      <w:marTop w:val="0"/>
      <w:marBottom w:val="0"/>
      <w:divBdr>
        <w:top w:val="none" w:sz="0" w:space="0" w:color="auto"/>
        <w:left w:val="none" w:sz="0" w:space="0" w:color="auto"/>
        <w:bottom w:val="none" w:sz="0" w:space="0" w:color="auto"/>
        <w:right w:val="none" w:sz="0" w:space="0" w:color="auto"/>
      </w:divBdr>
    </w:div>
    <w:div w:id="520896915">
      <w:bodyDiv w:val="1"/>
      <w:marLeft w:val="0"/>
      <w:marRight w:val="0"/>
      <w:marTop w:val="0"/>
      <w:marBottom w:val="0"/>
      <w:divBdr>
        <w:top w:val="none" w:sz="0" w:space="0" w:color="auto"/>
        <w:left w:val="none" w:sz="0" w:space="0" w:color="auto"/>
        <w:bottom w:val="none" w:sz="0" w:space="0" w:color="auto"/>
        <w:right w:val="none" w:sz="0" w:space="0" w:color="auto"/>
      </w:divBdr>
    </w:div>
    <w:div w:id="574055155">
      <w:bodyDiv w:val="1"/>
      <w:marLeft w:val="0"/>
      <w:marRight w:val="0"/>
      <w:marTop w:val="0"/>
      <w:marBottom w:val="0"/>
      <w:divBdr>
        <w:top w:val="none" w:sz="0" w:space="0" w:color="auto"/>
        <w:left w:val="none" w:sz="0" w:space="0" w:color="auto"/>
        <w:bottom w:val="none" w:sz="0" w:space="0" w:color="auto"/>
        <w:right w:val="none" w:sz="0" w:space="0" w:color="auto"/>
      </w:divBdr>
    </w:div>
    <w:div w:id="617638406">
      <w:bodyDiv w:val="1"/>
      <w:marLeft w:val="0"/>
      <w:marRight w:val="0"/>
      <w:marTop w:val="0"/>
      <w:marBottom w:val="0"/>
      <w:divBdr>
        <w:top w:val="none" w:sz="0" w:space="0" w:color="auto"/>
        <w:left w:val="none" w:sz="0" w:space="0" w:color="auto"/>
        <w:bottom w:val="none" w:sz="0" w:space="0" w:color="auto"/>
        <w:right w:val="none" w:sz="0" w:space="0" w:color="auto"/>
      </w:divBdr>
    </w:div>
    <w:div w:id="677346404">
      <w:bodyDiv w:val="1"/>
      <w:marLeft w:val="0"/>
      <w:marRight w:val="0"/>
      <w:marTop w:val="0"/>
      <w:marBottom w:val="0"/>
      <w:divBdr>
        <w:top w:val="none" w:sz="0" w:space="0" w:color="auto"/>
        <w:left w:val="none" w:sz="0" w:space="0" w:color="auto"/>
        <w:bottom w:val="none" w:sz="0" w:space="0" w:color="auto"/>
        <w:right w:val="none" w:sz="0" w:space="0" w:color="auto"/>
      </w:divBdr>
    </w:div>
    <w:div w:id="727261832">
      <w:bodyDiv w:val="1"/>
      <w:marLeft w:val="0"/>
      <w:marRight w:val="0"/>
      <w:marTop w:val="0"/>
      <w:marBottom w:val="0"/>
      <w:divBdr>
        <w:top w:val="none" w:sz="0" w:space="0" w:color="auto"/>
        <w:left w:val="none" w:sz="0" w:space="0" w:color="auto"/>
        <w:bottom w:val="none" w:sz="0" w:space="0" w:color="auto"/>
        <w:right w:val="none" w:sz="0" w:space="0" w:color="auto"/>
      </w:divBdr>
    </w:div>
    <w:div w:id="732972653">
      <w:bodyDiv w:val="1"/>
      <w:marLeft w:val="0"/>
      <w:marRight w:val="0"/>
      <w:marTop w:val="0"/>
      <w:marBottom w:val="0"/>
      <w:divBdr>
        <w:top w:val="none" w:sz="0" w:space="0" w:color="auto"/>
        <w:left w:val="none" w:sz="0" w:space="0" w:color="auto"/>
        <w:bottom w:val="none" w:sz="0" w:space="0" w:color="auto"/>
        <w:right w:val="none" w:sz="0" w:space="0" w:color="auto"/>
      </w:divBdr>
    </w:div>
    <w:div w:id="733240834">
      <w:bodyDiv w:val="1"/>
      <w:marLeft w:val="0"/>
      <w:marRight w:val="0"/>
      <w:marTop w:val="0"/>
      <w:marBottom w:val="0"/>
      <w:divBdr>
        <w:top w:val="none" w:sz="0" w:space="0" w:color="auto"/>
        <w:left w:val="none" w:sz="0" w:space="0" w:color="auto"/>
        <w:bottom w:val="none" w:sz="0" w:space="0" w:color="auto"/>
        <w:right w:val="none" w:sz="0" w:space="0" w:color="auto"/>
      </w:divBdr>
    </w:div>
    <w:div w:id="750585249">
      <w:bodyDiv w:val="1"/>
      <w:marLeft w:val="0"/>
      <w:marRight w:val="0"/>
      <w:marTop w:val="0"/>
      <w:marBottom w:val="0"/>
      <w:divBdr>
        <w:top w:val="none" w:sz="0" w:space="0" w:color="auto"/>
        <w:left w:val="none" w:sz="0" w:space="0" w:color="auto"/>
        <w:bottom w:val="none" w:sz="0" w:space="0" w:color="auto"/>
        <w:right w:val="none" w:sz="0" w:space="0" w:color="auto"/>
      </w:divBdr>
    </w:div>
    <w:div w:id="757558553">
      <w:bodyDiv w:val="1"/>
      <w:marLeft w:val="0"/>
      <w:marRight w:val="0"/>
      <w:marTop w:val="0"/>
      <w:marBottom w:val="0"/>
      <w:divBdr>
        <w:top w:val="none" w:sz="0" w:space="0" w:color="auto"/>
        <w:left w:val="none" w:sz="0" w:space="0" w:color="auto"/>
        <w:bottom w:val="none" w:sz="0" w:space="0" w:color="auto"/>
        <w:right w:val="none" w:sz="0" w:space="0" w:color="auto"/>
      </w:divBdr>
    </w:div>
    <w:div w:id="786433499">
      <w:bodyDiv w:val="1"/>
      <w:marLeft w:val="0"/>
      <w:marRight w:val="0"/>
      <w:marTop w:val="0"/>
      <w:marBottom w:val="0"/>
      <w:divBdr>
        <w:top w:val="none" w:sz="0" w:space="0" w:color="auto"/>
        <w:left w:val="none" w:sz="0" w:space="0" w:color="auto"/>
        <w:bottom w:val="none" w:sz="0" w:space="0" w:color="auto"/>
        <w:right w:val="none" w:sz="0" w:space="0" w:color="auto"/>
      </w:divBdr>
    </w:div>
    <w:div w:id="803815685">
      <w:bodyDiv w:val="1"/>
      <w:marLeft w:val="0"/>
      <w:marRight w:val="0"/>
      <w:marTop w:val="0"/>
      <w:marBottom w:val="0"/>
      <w:divBdr>
        <w:top w:val="none" w:sz="0" w:space="0" w:color="auto"/>
        <w:left w:val="none" w:sz="0" w:space="0" w:color="auto"/>
        <w:bottom w:val="none" w:sz="0" w:space="0" w:color="auto"/>
        <w:right w:val="none" w:sz="0" w:space="0" w:color="auto"/>
      </w:divBdr>
    </w:div>
    <w:div w:id="816726335">
      <w:bodyDiv w:val="1"/>
      <w:marLeft w:val="0"/>
      <w:marRight w:val="0"/>
      <w:marTop w:val="0"/>
      <w:marBottom w:val="0"/>
      <w:divBdr>
        <w:top w:val="none" w:sz="0" w:space="0" w:color="auto"/>
        <w:left w:val="none" w:sz="0" w:space="0" w:color="auto"/>
        <w:bottom w:val="none" w:sz="0" w:space="0" w:color="auto"/>
        <w:right w:val="none" w:sz="0" w:space="0" w:color="auto"/>
      </w:divBdr>
    </w:div>
    <w:div w:id="866796690">
      <w:bodyDiv w:val="1"/>
      <w:marLeft w:val="0"/>
      <w:marRight w:val="0"/>
      <w:marTop w:val="0"/>
      <w:marBottom w:val="0"/>
      <w:divBdr>
        <w:top w:val="none" w:sz="0" w:space="0" w:color="auto"/>
        <w:left w:val="none" w:sz="0" w:space="0" w:color="auto"/>
        <w:bottom w:val="none" w:sz="0" w:space="0" w:color="auto"/>
        <w:right w:val="none" w:sz="0" w:space="0" w:color="auto"/>
      </w:divBdr>
    </w:div>
    <w:div w:id="872503736">
      <w:bodyDiv w:val="1"/>
      <w:marLeft w:val="0"/>
      <w:marRight w:val="0"/>
      <w:marTop w:val="0"/>
      <w:marBottom w:val="0"/>
      <w:divBdr>
        <w:top w:val="none" w:sz="0" w:space="0" w:color="auto"/>
        <w:left w:val="none" w:sz="0" w:space="0" w:color="auto"/>
        <w:bottom w:val="none" w:sz="0" w:space="0" w:color="auto"/>
        <w:right w:val="none" w:sz="0" w:space="0" w:color="auto"/>
      </w:divBdr>
    </w:div>
    <w:div w:id="878588525">
      <w:bodyDiv w:val="1"/>
      <w:marLeft w:val="0"/>
      <w:marRight w:val="0"/>
      <w:marTop w:val="0"/>
      <w:marBottom w:val="0"/>
      <w:divBdr>
        <w:top w:val="none" w:sz="0" w:space="0" w:color="auto"/>
        <w:left w:val="none" w:sz="0" w:space="0" w:color="auto"/>
        <w:bottom w:val="none" w:sz="0" w:space="0" w:color="auto"/>
        <w:right w:val="none" w:sz="0" w:space="0" w:color="auto"/>
      </w:divBdr>
    </w:div>
    <w:div w:id="880214763">
      <w:bodyDiv w:val="1"/>
      <w:marLeft w:val="0"/>
      <w:marRight w:val="0"/>
      <w:marTop w:val="0"/>
      <w:marBottom w:val="0"/>
      <w:divBdr>
        <w:top w:val="none" w:sz="0" w:space="0" w:color="auto"/>
        <w:left w:val="none" w:sz="0" w:space="0" w:color="auto"/>
        <w:bottom w:val="none" w:sz="0" w:space="0" w:color="auto"/>
        <w:right w:val="none" w:sz="0" w:space="0" w:color="auto"/>
      </w:divBdr>
    </w:div>
    <w:div w:id="888419985">
      <w:bodyDiv w:val="1"/>
      <w:marLeft w:val="0"/>
      <w:marRight w:val="0"/>
      <w:marTop w:val="0"/>
      <w:marBottom w:val="0"/>
      <w:divBdr>
        <w:top w:val="none" w:sz="0" w:space="0" w:color="auto"/>
        <w:left w:val="none" w:sz="0" w:space="0" w:color="auto"/>
        <w:bottom w:val="none" w:sz="0" w:space="0" w:color="auto"/>
        <w:right w:val="none" w:sz="0" w:space="0" w:color="auto"/>
      </w:divBdr>
    </w:div>
    <w:div w:id="891233583">
      <w:bodyDiv w:val="1"/>
      <w:marLeft w:val="0"/>
      <w:marRight w:val="0"/>
      <w:marTop w:val="0"/>
      <w:marBottom w:val="0"/>
      <w:divBdr>
        <w:top w:val="none" w:sz="0" w:space="0" w:color="auto"/>
        <w:left w:val="none" w:sz="0" w:space="0" w:color="auto"/>
        <w:bottom w:val="none" w:sz="0" w:space="0" w:color="auto"/>
        <w:right w:val="none" w:sz="0" w:space="0" w:color="auto"/>
      </w:divBdr>
    </w:div>
    <w:div w:id="903564624">
      <w:bodyDiv w:val="1"/>
      <w:marLeft w:val="0"/>
      <w:marRight w:val="0"/>
      <w:marTop w:val="0"/>
      <w:marBottom w:val="0"/>
      <w:divBdr>
        <w:top w:val="none" w:sz="0" w:space="0" w:color="auto"/>
        <w:left w:val="none" w:sz="0" w:space="0" w:color="auto"/>
        <w:bottom w:val="none" w:sz="0" w:space="0" w:color="auto"/>
        <w:right w:val="none" w:sz="0" w:space="0" w:color="auto"/>
      </w:divBdr>
    </w:div>
    <w:div w:id="918952736">
      <w:bodyDiv w:val="1"/>
      <w:marLeft w:val="0"/>
      <w:marRight w:val="0"/>
      <w:marTop w:val="0"/>
      <w:marBottom w:val="0"/>
      <w:divBdr>
        <w:top w:val="none" w:sz="0" w:space="0" w:color="auto"/>
        <w:left w:val="none" w:sz="0" w:space="0" w:color="auto"/>
        <w:bottom w:val="none" w:sz="0" w:space="0" w:color="auto"/>
        <w:right w:val="none" w:sz="0" w:space="0" w:color="auto"/>
      </w:divBdr>
    </w:div>
    <w:div w:id="927231935">
      <w:bodyDiv w:val="1"/>
      <w:marLeft w:val="0"/>
      <w:marRight w:val="0"/>
      <w:marTop w:val="0"/>
      <w:marBottom w:val="0"/>
      <w:divBdr>
        <w:top w:val="none" w:sz="0" w:space="0" w:color="auto"/>
        <w:left w:val="none" w:sz="0" w:space="0" w:color="auto"/>
        <w:bottom w:val="none" w:sz="0" w:space="0" w:color="auto"/>
        <w:right w:val="none" w:sz="0" w:space="0" w:color="auto"/>
      </w:divBdr>
    </w:div>
    <w:div w:id="946425168">
      <w:bodyDiv w:val="1"/>
      <w:marLeft w:val="0"/>
      <w:marRight w:val="0"/>
      <w:marTop w:val="0"/>
      <w:marBottom w:val="0"/>
      <w:divBdr>
        <w:top w:val="none" w:sz="0" w:space="0" w:color="auto"/>
        <w:left w:val="none" w:sz="0" w:space="0" w:color="auto"/>
        <w:bottom w:val="none" w:sz="0" w:space="0" w:color="auto"/>
        <w:right w:val="none" w:sz="0" w:space="0" w:color="auto"/>
      </w:divBdr>
    </w:div>
    <w:div w:id="948777191">
      <w:bodyDiv w:val="1"/>
      <w:marLeft w:val="0"/>
      <w:marRight w:val="0"/>
      <w:marTop w:val="0"/>
      <w:marBottom w:val="0"/>
      <w:divBdr>
        <w:top w:val="none" w:sz="0" w:space="0" w:color="auto"/>
        <w:left w:val="none" w:sz="0" w:space="0" w:color="auto"/>
        <w:bottom w:val="none" w:sz="0" w:space="0" w:color="auto"/>
        <w:right w:val="none" w:sz="0" w:space="0" w:color="auto"/>
      </w:divBdr>
    </w:div>
    <w:div w:id="1011613801">
      <w:bodyDiv w:val="1"/>
      <w:marLeft w:val="0"/>
      <w:marRight w:val="0"/>
      <w:marTop w:val="0"/>
      <w:marBottom w:val="0"/>
      <w:divBdr>
        <w:top w:val="none" w:sz="0" w:space="0" w:color="auto"/>
        <w:left w:val="none" w:sz="0" w:space="0" w:color="auto"/>
        <w:bottom w:val="none" w:sz="0" w:space="0" w:color="auto"/>
        <w:right w:val="none" w:sz="0" w:space="0" w:color="auto"/>
      </w:divBdr>
    </w:div>
    <w:div w:id="1064794668">
      <w:bodyDiv w:val="1"/>
      <w:marLeft w:val="0"/>
      <w:marRight w:val="0"/>
      <w:marTop w:val="0"/>
      <w:marBottom w:val="0"/>
      <w:divBdr>
        <w:top w:val="none" w:sz="0" w:space="0" w:color="auto"/>
        <w:left w:val="none" w:sz="0" w:space="0" w:color="auto"/>
        <w:bottom w:val="none" w:sz="0" w:space="0" w:color="auto"/>
        <w:right w:val="none" w:sz="0" w:space="0" w:color="auto"/>
      </w:divBdr>
    </w:div>
    <w:div w:id="1075084141">
      <w:bodyDiv w:val="1"/>
      <w:marLeft w:val="0"/>
      <w:marRight w:val="0"/>
      <w:marTop w:val="0"/>
      <w:marBottom w:val="0"/>
      <w:divBdr>
        <w:top w:val="none" w:sz="0" w:space="0" w:color="auto"/>
        <w:left w:val="none" w:sz="0" w:space="0" w:color="auto"/>
        <w:bottom w:val="none" w:sz="0" w:space="0" w:color="auto"/>
        <w:right w:val="none" w:sz="0" w:space="0" w:color="auto"/>
      </w:divBdr>
    </w:div>
    <w:div w:id="1076783844">
      <w:bodyDiv w:val="1"/>
      <w:marLeft w:val="0"/>
      <w:marRight w:val="0"/>
      <w:marTop w:val="0"/>
      <w:marBottom w:val="0"/>
      <w:divBdr>
        <w:top w:val="none" w:sz="0" w:space="0" w:color="auto"/>
        <w:left w:val="none" w:sz="0" w:space="0" w:color="auto"/>
        <w:bottom w:val="none" w:sz="0" w:space="0" w:color="auto"/>
        <w:right w:val="none" w:sz="0" w:space="0" w:color="auto"/>
      </w:divBdr>
    </w:div>
    <w:div w:id="1100876202">
      <w:bodyDiv w:val="1"/>
      <w:marLeft w:val="0"/>
      <w:marRight w:val="0"/>
      <w:marTop w:val="0"/>
      <w:marBottom w:val="0"/>
      <w:divBdr>
        <w:top w:val="none" w:sz="0" w:space="0" w:color="auto"/>
        <w:left w:val="none" w:sz="0" w:space="0" w:color="auto"/>
        <w:bottom w:val="none" w:sz="0" w:space="0" w:color="auto"/>
        <w:right w:val="none" w:sz="0" w:space="0" w:color="auto"/>
      </w:divBdr>
    </w:div>
    <w:div w:id="1101099918">
      <w:bodyDiv w:val="1"/>
      <w:marLeft w:val="0"/>
      <w:marRight w:val="0"/>
      <w:marTop w:val="0"/>
      <w:marBottom w:val="0"/>
      <w:divBdr>
        <w:top w:val="none" w:sz="0" w:space="0" w:color="auto"/>
        <w:left w:val="none" w:sz="0" w:space="0" w:color="auto"/>
        <w:bottom w:val="none" w:sz="0" w:space="0" w:color="auto"/>
        <w:right w:val="none" w:sz="0" w:space="0" w:color="auto"/>
      </w:divBdr>
    </w:div>
    <w:div w:id="1135828115">
      <w:bodyDiv w:val="1"/>
      <w:marLeft w:val="0"/>
      <w:marRight w:val="0"/>
      <w:marTop w:val="0"/>
      <w:marBottom w:val="0"/>
      <w:divBdr>
        <w:top w:val="none" w:sz="0" w:space="0" w:color="auto"/>
        <w:left w:val="none" w:sz="0" w:space="0" w:color="auto"/>
        <w:bottom w:val="none" w:sz="0" w:space="0" w:color="auto"/>
        <w:right w:val="none" w:sz="0" w:space="0" w:color="auto"/>
      </w:divBdr>
    </w:div>
    <w:div w:id="1158227667">
      <w:bodyDiv w:val="1"/>
      <w:marLeft w:val="0"/>
      <w:marRight w:val="0"/>
      <w:marTop w:val="0"/>
      <w:marBottom w:val="0"/>
      <w:divBdr>
        <w:top w:val="none" w:sz="0" w:space="0" w:color="auto"/>
        <w:left w:val="none" w:sz="0" w:space="0" w:color="auto"/>
        <w:bottom w:val="none" w:sz="0" w:space="0" w:color="auto"/>
        <w:right w:val="none" w:sz="0" w:space="0" w:color="auto"/>
      </w:divBdr>
    </w:div>
    <w:div w:id="1193495827">
      <w:bodyDiv w:val="1"/>
      <w:marLeft w:val="0"/>
      <w:marRight w:val="0"/>
      <w:marTop w:val="0"/>
      <w:marBottom w:val="0"/>
      <w:divBdr>
        <w:top w:val="none" w:sz="0" w:space="0" w:color="auto"/>
        <w:left w:val="none" w:sz="0" w:space="0" w:color="auto"/>
        <w:bottom w:val="none" w:sz="0" w:space="0" w:color="auto"/>
        <w:right w:val="none" w:sz="0" w:space="0" w:color="auto"/>
      </w:divBdr>
    </w:div>
    <w:div w:id="1200127492">
      <w:bodyDiv w:val="1"/>
      <w:marLeft w:val="0"/>
      <w:marRight w:val="0"/>
      <w:marTop w:val="0"/>
      <w:marBottom w:val="0"/>
      <w:divBdr>
        <w:top w:val="none" w:sz="0" w:space="0" w:color="auto"/>
        <w:left w:val="none" w:sz="0" w:space="0" w:color="auto"/>
        <w:bottom w:val="none" w:sz="0" w:space="0" w:color="auto"/>
        <w:right w:val="none" w:sz="0" w:space="0" w:color="auto"/>
      </w:divBdr>
    </w:div>
    <w:div w:id="1283421976">
      <w:bodyDiv w:val="1"/>
      <w:marLeft w:val="0"/>
      <w:marRight w:val="0"/>
      <w:marTop w:val="0"/>
      <w:marBottom w:val="0"/>
      <w:divBdr>
        <w:top w:val="none" w:sz="0" w:space="0" w:color="auto"/>
        <w:left w:val="none" w:sz="0" w:space="0" w:color="auto"/>
        <w:bottom w:val="none" w:sz="0" w:space="0" w:color="auto"/>
        <w:right w:val="none" w:sz="0" w:space="0" w:color="auto"/>
      </w:divBdr>
    </w:div>
    <w:div w:id="1296445622">
      <w:bodyDiv w:val="1"/>
      <w:marLeft w:val="0"/>
      <w:marRight w:val="0"/>
      <w:marTop w:val="0"/>
      <w:marBottom w:val="0"/>
      <w:divBdr>
        <w:top w:val="none" w:sz="0" w:space="0" w:color="auto"/>
        <w:left w:val="none" w:sz="0" w:space="0" w:color="auto"/>
        <w:bottom w:val="none" w:sz="0" w:space="0" w:color="auto"/>
        <w:right w:val="none" w:sz="0" w:space="0" w:color="auto"/>
      </w:divBdr>
    </w:div>
    <w:div w:id="1308124391">
      <w:bodyDiv w:val="1"/>
      <w:marLeft w:val="0"/>
      <w:marRight w:val="0"/>
      <w:marTop w:val="0"/>
      <w:marBottom w:val="0"/>
      <w:divBdr>
        <w:top w:val="none" w:sz="0" w:space="0" w:color="auto"/>
        <w:left w:val="none" w:sz="0" w:space="0" w:color="auto"/>
        <w:bottom w:val="none" w:sz="0" w:space="0" w:color="auto"/>
        <w:right w:val="none" w:sz="0" w:space="0" w:color="auto"/>
      </w:divBdr>
    </w:div>
    <w:div w:id="1344554884">
      <w:bodyDiv w:val="1"/>
      <w:marLeft w:val="0"/>
      <w:marRight w:val="0"/>
      <w:marTop w:val="0"/>
      <w:marBottom w:val="0"/>
      <w:divBdr>
        <w:top w:val="none" w:sz="0" w:space="0" w:color="auto"/>
        <w:left w:val="none" w:sz="0" w:space="0" w:color="auto"/>
        <w:bottom w:val="none" w:sz="0" w:space="0" w:color="auto"/>
        <w:right w:val="none" w:sz="0" w:space="0" w:color="auto"/>
      </w:divBdr>
    </w:div>
    <w:div w:id="1356736576">
      <w:bodyDiv w:val="1"/>
      <w:marLeft w:val="0"/>
      <w:marRight w:val="0"/>
      <w:marTop w:val="0"/>
      <w:marBottom w:val="0"/>
      <w:divBdr>
        <w:top w:val="none" w:sz="0" w:space="0" w:color="auto"/>
        <w:left w:val="none" w:sz="0" w:space="0" w:color="auto"/>
        <w:bottom w:val="none" w:sz="0" w:space="0" w:color="auto"/>
        <w:right w:val="none" w:sz="0" w:space="0" w:color="auto"/>
      </w:divBdr>
    </w:div>
    <w:div w:id="1362513300">
      <w:bodyDiv w:val="1"/>
      <w:marLeft w:val="0"/>
      <w:marRight w:val="0"/>
      <w:marTop w:val="0"/>
      <w:marBottom w:val="0"/>
      <w:divBdr>
        <w:top w:val="none" w:sz="0" w:space="0" w:color="auto"/>
        <w:left w:val="none" w:sz="0" w:space="0" w:color="auto"/>
        <w:bottom w:val="none" w:sz="0" w:space="0" w:color="auto"/>
        <w:right w:val="none" w:sz="0" w:space="0" w:color="auto"/>
      </w:divBdr>
      <w:divsChild>
        <w:div w:id="1259560980">
          <w:marLeft w:val="0"/>
          <w:marRight w:val="0"/>
          <w:marTop w:val="0"/>
          <w:marBottom w:val="0"/>
          <w:divBdr>
            <w:top w:val="none" w:sz="0" w:space="0" w:color="auto"/>
            <w:left w:val="none" w:sz="0" w:space="0" w:color="auto"/>
            <w:bottom w:val="none" w:sz="0" w:space="0" w:color="auto"/>
            <w:right w:val="none" w:sz="0" w:space="0" w:color="auto"/>
          </w:divBdr>
        </w:div>
        <w:div w:id="2017876965">
          <w:marLeft w:val="0"/>
          <w:marRight w:val="0"/>
          <w:marTop w:val="0"/>
          <w:marBottom w:val="0"/>
          <w:divBdr>
            <w:top w:val="none" w:sz="0" w:space="0" w:color="auto"/>
            <w:left w:val="none" w:sz="0" w:space="0" w:color="auto"/>
            <w:bottom w:val="none" w:sz="0" w:space="0" w:color="auto"/>
            <w:right w:val="none" w:sz="0" w:space="0" w:color="auto"/>
          </w:divBdr>
        </w:div>
        <w:div w:id="309601090">
          <w:marLeft w:val="0"/>
          <w:marRight w:val="0"/>
          <w:marTop w:val="0"/>
          <w:marBottom w:val="0"/>
          <w:divBdr>
            <w:top w:val="none" w:sz="0" w:space="0" w:color="auto"/>
            <w:left w:val="none" w:sz="0" w:space="0" w:color="auto"/>
            <w:bottom w:val="none" w:sz="0" w:space="0" w:color="auto"/>
            <w:right w:val="none" w:sz="0" w:space="0" w:color="auto"/>
          </w:divBdr>
        </w:div>
        <w:div w:id="575630413">
          <w:marLeft w:val="0"/>
          <w:marRight w:val="0"/>
          <w:marTop w:val="0"/>
          <w:marBottom w:val="0"/>
          <w:divBdr>
            <w:top w:val="none" w:sz="0" w:space="0" w:color="auto"/>
            <w:left w:val="none" w:sz="0" w:space="0" w:color="auto"/>
            <w:bottom w:val="none" w:sz="0" w:space="0" w:color="auto"/>
            <w:right w:val="none" w:sz="0" w:space="0" w:color="auto"/>
          </w:divBdr>
        </w:div>
        <w:div w:id="2092844869">
          <w:marLeft w:val="0"/>
          <w:marRight w:val="0"/>
          <w:marTop w:val="0"/>
          <w:marBottom w:val="0"/>
          <w:divBdr>
            <w:top w:val="none" w:sz="0" w:space="0" w:color="auto"/>
            <w:left w:val="none" w:sz="0" w:space="0" w:color="auto"/>
            <w:bottom w:val="none" w:sz="0" w:space="0" w:color="auto"/>
            <w:right w:val="none" w:sz="0" w:space="0" w:color="auto"/>
          </w:divBdr>
        </w:div>
        <w:div w:id="823930376">
          <w:marLeft w:val="0"/>
          <w:marRight w:val="0"/>
          <w:marTop w:val="0"/>
          <w:marBottom w:val="0"/>
          <w:divBdr>
            <w:top w:val="none" w:sz="0" w:space="0" w:color="auto"/>
            <w:left w:val="none" w:sz="0" w:space="0" w:color="auto"/>
            <w:bottom w:val="none" w:sz="0" w:space="0" w:color="auto"/>
            <w:right w:val="none" w:sz="0" w:space="0" w:color="auto"/>
          </w:divBdr>
        </w:div>
        <w:div w:id="22171305">
          <w:marLeft w:val="0"/>
          <w:marRight w:val="0"/>
          <w:marTop w:val="0"/>
          <w:marBottom w:val="0"/>
          <w:divBdr>
            <w:top w:val="none" w:sz="0" w:space="0" w:color="auto"/>
            <w:left w:val="none" w:sz="0" w:space="0" w:color="auto"/>
            <w:bottom w:val="none" w:sz="0" w:space="0" w:color="auto"/>
            <w:right w:val="none" w:sz="0" w:space="0" w:color="auto"/>
          </w:divBdr>
        </w:div>
      </w:divsChild>
    </w:div>
    <w:div w:id="1379472263">
      <w:bodyDiv w:val="1"/>
      <w:marLeft w:val="0"/>
      <w:marRight w:val="0"/>
      <w:marTop w:val="0"/>
      <w:marBottom w:val="0"/>
      <w:divBdr>
        <w:top w:val="none" w:sz="0" w:space="0" w:color="auto"/>
        <w:left w:val="none" w:sz="0" w:space="0" w:color="auto"/>
        <w:bottom w:val="none" w:sz="0" w:space="0" w:color="auto"/>
        <w:right w:val="none" w:sz="0" w:space="0" w:color="auto"/>
      </w:divBdr>
    </w:div>
    <w:div w:id="1383363018">
      <w:bodyDiv w:val="1"/>
      <w:marLeft w:val="0"/>
      <w:marRight w:val="0"/>
      <w:marTop w:val="0"/>
      <w:marBottom w:val="0"/>
      <w:divBdr>
        <w:top w:val="none" w:sz="0" w:space="0" w:color="auto"/>
        <w:left w:val="none" w:sz="0" w:space="0" w:color="auto"/>
        <w:bottom w:val="none" w:sz="0" w:space="0" w:color="auto"/>
        <w:right w:val="none" w:sz="0" w:space="0" w:color="auto"/>
      </w:divBdr>
    </w:div>
    <w:div w:id="1401711408">
      <w:bodyDiv w:val="1"/>
      <w:marLeft w:val="0"/>
      <w:marRight w:val="0"/>
      <w:marTop w:val="0"/>
      <w:marBottom w:val="0"/>
      <w:divBdr>
        <w:top w:val="none" w:sz="0" w:space="0" w:color="auto"/>
        <w:left w:val="none" w:sz="0" w:space="0" w:color="auto"/>
        <w:bottom w:val="none" w:sz="0" w:space="0" w:color="auto"/>
        <w:right w:val="none" w:sz="0" w:space="0" w:color="auto"/>
      </w:divBdr>
    </w:div>
    <w:div w:id="1426151235">
      <w:bodyDiv w:val="1"/>
      <w:marLeft w:val="0"/>
      <w:marRight w:val="0"/>
      <w:marTop w:val="0"/>
      <w:marBottom w:val="0"/>
      <w:divBdr>
        <w:top w:val="none" w:sz="0" w:space="0" w:color="auto"/>
        <w:left w:val="none" w:sz="0" w:space="0" w:color="auto"/>
        <w:bottom w:val="none" w:sz="0" w:space="0" w:color="auto"/>
        <w:right w:val="none" w:sz="0" w:space="0" w:color="auto"/>
      </w:divBdr>
    </w:div>
    <w:div w:id="1426802698">
      <w:bodyDiv w:val="1"/>
      <w:marLeft w:val="0"/>
      <w:marRight w:val="0"/>
      <w:marTop w:val="0"/>
      <w:marBottom w:val="0"/>
      <w:divBdr>
        <w:top w:val="none" w:sz="0" w:space="0" w:color="auto"/>
        <w:left w:val="none" w:sz="0" w:space="0" w:color="auto"/>
        <w:bottom w:val="none" w:sz="0" w:space="0" w:color="auto"/>
        <w:right w:val="none" w:sz="0" w:space="0" w:color="auto"/>
      </w:divBdr>
    </w:div>
    <w:div w:id="1448041088">
      <w:bodyDiv w:val="1"/>
      <w:marLeft w:val="0"/>
      <w:marRight w:val="0"/>
      <w:marTop w:val="0"/>
      <w:marBottom w:val="0"/>
      <w:divBdr>
        <w:top w:val="none" w:sz="0" w:space="0" w:color="auto"/>
        <w:left w:val="none" w:sz="0" w:space="0" w:color="auto"/>
        <w:bottom w:val="none" w:sz="0" w:space="0" w:color="auto"/>
        <w:right w:val="none" w:sz="0" w:space="0" w:color="auto"/>
      </w:divBdr>
    </w:div>
    <w:div w:id="1452817339">
      <w:bodyDiv w:val="1"/>
      <w:marLeft w:val="0"/>
      <w:marRight w:val="0"/>
      <w:marTop w:val="0"/>
      <w:marBottom w:val="0"/>
      <w:divBdr>
        <w:top w:val="none" w:sz="0" w:space="0" w:color="auto"/>
        <w:left w:val="none" w:sz="0" w:space="0" w:color="auto"/>
        <w:bottom w:val="none" w:sz="0" w:space="0" w:color="auto"/>
        <w:right w:val="none" w:sz="0" w:space="0" w:color="auto"/>
      </w:divBdr>
    </w:div>
    <w:div w:id="1465851598">
      <w:bodyDiv w:val="1"/>
      <w:marLeft w:val="0"/>
      <w:marRight w:val="0"/>
      <w:marTop w:val="0"/>
      <w:marBottom w:val="0"/>
      <w:divBdr>
        <w:top w:val="none" w:sz="0" w:space="0" w:color="auto"/>
        <w:left w:val="none" w:sz="0" w:space="0" w:color="auto"/>
        <w:bottom w:val="none" w:sz="0" w:space="0" w:color="auto"/>
        <w:right w:val="none" w:sz="0" w:space="0" w:color="auto"/>
      </w:divBdr>
    </w:div>
    <w:div w:id="1541240781">
      <w:bodyDiv w:val="1"/>
      <w:marLeft w:val="0"/>
      <w:marRight w:val="0"/>
      <w:marTop w:val="0"/>
      <w:marBottom w:val="0"/>
      <w:divBdr>
        <w:top w:val="none" w:sz="0" w:space="0" w:color="auto"/>
        <w:left w:val="none" w:sz="0" w:space="0" w:color="auto"/>
        <w:bottom w:val="none" w:sz="0" w:space="0" w:color="auto"/>
        <w:right w:val="none" w:sz="0" w:space="0" w:color="auto"/>
      </w:divBdr>
    </w:div>
    <w:div w:id="1568297087">
      <w:bodyDiv w:val="1"/>
      <w:marLeft w:val="0"/>
      <w:marRight w:val="0"/>
      <w:marTop w:val="0"/>
      <w:marBottom w:val="0"/>
      <w:divBdr>
        <w:top w:val="none" w:sz="0" w:space="0" w:color="auto"/>
        <w:left w:val="none" w:sz="0" w:space="0" w:color="auto"/>
        <w:bottom w:val="none" w:sz="0" w:space="0" w:color="auto"/>
        <w:right w:val="none" w:sz="0" w:space="0" w:color="auto"/>
      </w:divBdr>
    </w:div>
    <w:div w:id="1606495702">
      <w:bodyDiv w:val="1"/>
      <w:marLeft w:val="0"/>
      <w:marRight w:val="0"/>
      <w:marTop w:val="0"/>
      <w:marBottom w:val="0"/>
      <w:divBdr>
        <w:top w:val="none" w:sz="0" w:space="0" w:color="auto"/>
        <w:left w:val="none" w:sz="0" w:space="0" w:color="auto"/>
        <w:bottom w:val="none" w:sz="0" w:space="0" w:color="auto"/>
        <w:right w:val="none" w:sz="0" w:space="0" w:color="auto"/>
      </w:divBdr>
    </w:div>
    <w:div w:id="1632128002">
      <w:bodyDiv w:val="1"/>
      <w:marLeft w:val="0"/>
      <w:marRight w:val="0"/>
      <w:marTop w:val="0"/>
      <w:marBottom w:val="0"/>
      <w:divBdr>
        <w:top w:val="none" w:sz="0" w:space="0" w:color="auto"/>
        <w:left w:val="none" w:sz="0" w:space="0" w:color="auto"/>
        <w:bottom w:val="none" w:sz="0" w:space="0" w:color="auto"/>
        <w:right w:val="none" w:sz="0" w:space="0" w:color="auto"/>
      </w:divBdr>
    </w:div>
    <w:div w:id="1666057308">
      <w:bodyDiv w:val="1"/>
      <w:marLeft w:val="0"/>
      <w:marRight w:val="0"/>
      <w:marTop w:val="0"/>
      <w:marBottom w:val="0"/>
      <w:divBdr>
        <w:top w:val="none" w:sz="0" w:space="0" w:color="auto"/>
        <w:left w:val="none" w:sz="0" w:space="0" w:color="auto"/>
        <w:bottom w:val="none" w:sz="0" w:space="0" w:color="auto"/>
        <w:right w:val="none" w:sz="0" w:space="0" w:color="auto"/>
      </w:divBdr>
    </w:div>
    <w:div w:id="1687124884">
      <w:bodyDiv w:val="1"/>
      <w:marLeft w:val="0"/>
      <w:marRight w:val="0"/>
      <w:marTop w:val="0"/>
      <w:marBottom w:val="0"/>
      <w:divBdr>
        <w:top w:val="none" w:sz="0" w:space="0" w:color="auto"/>
        <w:left w:val="none" w:sz="0" w:space="0" w:color="auto"/>
        <w:bottom w:val="none" w:sz="0" w:space="0" w:color="auto"/>
        <w:right w:val="none" w:sz="0" w:space="0" w:color="auto"/>
      </w:divBdr>
    </w:div>
    <w:div w:id="1724254337">
      <w:bodyDiv w:val="1"/>
      <w:marLeft w:val="0"/>
      <w:marRight w:val="0"/>
      <w:marTop w:val="0"/>
      <w:marBottom w:val="0"/>
      <w:divBdr>
        <w:top w:val="none" w:sz="0" w:space="0" w:color="auto"/>
        <w:left w:val="none" w:sz="0" w:space="0" w:color="auto"/>
        <w:bottom w:val="none" w:sz="0" w:space="0" w:color="auto"/>
        <w:right w:val="none" w:sz="0" w:space="0" w:color="auto"/>
      </w:divBdr>
    </w:div>
    <w:div w:id="1726099893">
      <w:bodyDiv w:val="1"/>
      <w:marLeft w:val="0"/>
      <w:marRight w:val="0"/>
      <w:marTop w:val="0"/>
      <w:marBottom w:val="0"/>
      <w:divBdr>
        <w:top w:val="none" w:sz="0" w:space="0" w:color="auto"/>
        <w:left w:val="none" w:sz="0" w:space="0" w:color="auto"/>
        <w:bottom w:val="none" w:sz="0" w:space="0" w:color="auto"/>
        <w:right w:val="none" w:sz="0" w:space="0" w:color="auto"/>
      </w:divBdr>
    </w:div>
    <w:div w:id="1830097448">
      <w:bodyDiv w:val="1"/>
      <w:marLeft w:val="0"/>
      <w:marRight w:val="0"/>
      <w:marTop w:val="0"/>
      <w:marBottom w:val="0"/>
      <w:divBdr>
        <w:top w:val="none" w:sz="0" w:space="0" w:color="auto"/>
        <w:left w:val="none" w:sz="0" w:space="0" w:color="auto"/>
        <w:bottom w:val="none" w:sz="0" w:space="0" w:color="auto"/>
        <w:right w:val="none" w:sz="0" w:space="0" w:color="auto"/>
      </w:divBdr>
    </w:div>
    <w:div w:id="1954894197">
      <w:bodyDiv w:val="1"/>
      <w:marLeft w:val="0"/>
      <w:marRight w:val="0"/>
      <w:marTop w:val="0"/>
      <w:marBottom w:val="0"/>
      <w:divBdr>
        <w:top w:val="none" w:sz="0" w:space="0" w:color="auto"/>
        <w:left w:val="none" w:sz="0" w:space="0" w:color="auto"/>
        <w:bottom w:val="none" w:sz="0" w:space="0" w:color="auto"/>
        <w:right w:val="none" w:sz="0" w:space="0" w:color="auto"/>
      </w:divBdr>
    </w:div>
    <w:div w:id="1964186568">
      <w:bodyDiv w:val="1"/>
      <w:marLeft w:val="0"/>
      <w:marRight w:val="0"/>
      <w:marTop w:val="0"/>
      <w:marBottom w:val="0"/>
      <w:divBdr>
        <w:top w:val="none" w:sz="0" w:space="0" w:color="auto"/>
        <w:left w:val="none" w:sz="0" w:space="0" w:color="auto"/>
        <w:bottom w:val="none" w:sz="0" w:space="0" w:color="auto"/>
        <w:right w:val="none" w:sz="0" w:space="0" w:color="auto"/>
      </w:divBdr>
    </w:div>
    <w:div w:id="2042705193">
      <w:bodyDiv w:val="1"/>
      <w:marLeft w:val="0"/>
      <w:marRight w:val="0"/>
      <w:marTop w:val="0"/>
      <w:marBottom w:val="0"/>
      <w:divBdr>
        <w:top w:val="none" w:sz="0" w:space="0" w:color="auto"/>
        <w:left w:val="none" w:sz="0" w:space="0" w:color="auto"/>
        <w:bottom w:val="none" w:sz="0" w:space="0" w:color="auto"/>
        <w:right w:val="none" w:sz="0" w:space="0" w:color="auto"/>
      </w:divBdr>
    </w:div>
    <w:div w:id="2061633163">
      <w:bodyDiv w:val="1"/>
      <w:marLeft w:val="0"/>
      <w:marRight w:val="0"/>
      <w:marTop w:val="0"/>
      <w:marBottom w:val="0"/>
      <w:divBdr>
        <w:top w:val="none" w:sz="0" w:space="0" w:color="auto"/>
        <w:left w:val="none" w:sz="0" w:space="0" w:color="auto"/>
        <w:bottom w:val="none" w:sz="0" w:space="0" w:color="auto"/>
        <w:right w:val="none" w:sz="0" w:space="0" w:color="auto"/>
      </w:divBdr>
    </w:div>
    <w:div w:id="2079673433">
      <w:bodyDiv w:val="1"/>
      <w:marLeft w:val="0"/>
      <w:marRight w:val="0"/>
      <w:marTop w:val="0"/>
      <w:marBottom w:val="0"/>
      <w:divBdr>
        <w:top w:val="none" w:sz="0" w:space="0" w:color="auto"/>
        <w:left w:val="none" w:sz="0" w:space="0" w:color="auto"/>
        <w:bottom w:val="none" w:sz="0" w:space="0" w:color="auto"/>
        <w:right w:val="none" w:sz="0" w:space="0" w:color="auto"/>
      </w:divBdr>
    </w:div>
    <w:div w:id="2088183615">
      <w:bodyDiv w:val="1"/>
      <w:marLeft w:val="0"/>
      <w:marRight w:val="0"/>
      <w:marTop w:val="0"/>
      <w:marBottom w:val="0"/>
      <w:divBdr>
        <w:top w:val="none" w:sz="0" w:space="0" w:color="auto"/>
        <w:left w:val="none" w:sz="0" w:space="0" w:color="auto"/>
        <w:bottom w:val="none" w:sz="0" w:space="0" w:color="auto"/>
        <w:right w:val="none" w:sz="0" w:space="0" w:color="auto"/>
      </w:divBdr>
    </w:div>
    <w:div w:id="2088335247">
      <w:bodyDiv w:val="1"/>
      <w:marLeft w:val="0"/>
      <w:marRight w:val="0"/>
      <w:marTop w:val="0"/>
      <w:marBottom w:val="0"/>
      <w:divBdr>
        <w:top w:val="none" w:sz="0" w:space="0" w:color="auto"/>
        <w:left w:val="none" w:sz="0" w:space="0" w:color="auto"/>
        <w:bottom w:val="none" w:sz="0" w:space="0" w:color="auto"/>
        <w:right w:val="none" w:sz="0" w:space="0" w:color="auto"/>
      </w:divBdr>
    </w:div>
    <w:div w:id="2099019311">
      <w:bodyDiv w:val="1"/>
      <w:marLeft w:val="0"/>
      <w:marRight w:val="0"/>
      <w:marTop w:val="0"/>
      <w:marBottom w:val="0"/>
      <w:divBdr>
        <w:top w:val="none" w:sz="0" w:space="0" w:color="auto"/>
        <w:left w:val="none" w:sz="0" w:space="0" w:color="auto"/>
        <w:bottom w:val="none" w:sz="0" w:space="0" w:color="auto"/>
        <w:right w:val="none" w:sz="0" w:space="0" w:color="auto"/>
      </w:divBdr>
    </w:div>
    <w:div w:id="2117867997">
      <w:bodyDiv w:val="1"/>
      <w:marLeft w:val="0"/>
      <w:marRight w:val="0"/>
      <w:marTop w:val="0"/>
      <w:marBottom w:val="0"/>
      <w:divBdr>
        <w:top w:val="none" w:sz="0" w:space="0" w:color="auto"/>
        <w:left w:val="none" w:sz="0" w:space="0" w:color="auto"/>
        <w:bottom w:val="none" w:sz="0" w:space="0" w:color="auto"/>
        <w:right w:val="none" w:sz="0" w:space="0" w:color="auto"/>
      </w:divBdr>
    </w:div>
    <w:div w:id="2134251742">
      <w:bodyDiv w:val="1"/>
      <w:marLeft w:val="0"/>
      <w:marRight w:val="0"/>
      <w:marTop w:val="0"/>
      <w:marBottom w:val="0"/>
      <w:divBdr>
        <w:top w:val="none" w:sz="0" w:space="0" w:color="auto"/>
        <w:left w:val="none" w:sz="0" w:space="0" w:color="auto"/>
        <w:bottom w:val="none" w:sz="0" w:space="0" w:color="auto"/>
        <w:right w:val="none" w:sz="0" w:space="0" w:color="auto"/>
      </w:divBdr>
    </w:div>
    <w:div w:id="214141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LMC-DC\Shared\public_all\Marco\LMC%20GP%20Practice%20Situation%20Survey.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LMC-DC\Shared\public_all\Marco\LMC%20GP%20Practice%20Situation%20Surve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LMC GP Practice Situation</a:t>
            </a:r>
            <a:r>
              <a:rPr lang="en-GB" baseline="0"/>
              <a:t> Survey</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822069116360454"/>
          <c:y val="0.14393518518518519"/>
          <c:w val="0.84527602799650048"/>
          <c:h val="0.4877055993000875"/>
        </c:manualLayout>
      </c:layout>
      <c:lineChart>
        <c:grouping val="standard"/>
        <c:varyColors val="0"/>
        <c:ser>
          <c:idx val="1"/>
          <c:order val="1"/>
          <c:tx>
            <c:strRef>
              <c:f>Sheet1!$C$15</c:f>
              <c:strCache>
                <c:ptCount val="1"/>
                <c:pt idx="0">
                  <c:v>Green %</c:v>
                </c:pt>
              </c:strCache>
            </c:strRef>
          </c:tx>
          <c:spPr>
            <a:ln w="28575" cap="rnd">
              <a:solidFill>
                <a:srgbClr val="00B050"/>
              </a:solidFill>
              <a:round/>
            </a:ln>
            <a:effectLst/>
          </c:spPr>
          <c:marker>
            <c:symbol val="none"/>
          </c:marker>
          <c:cat>
            <c:numRef>
              <c:f>Sheet1!$A$16:$A$163</c:f>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f>Sheet1!$C$16:$C$155</c:f>
              <c:numCache>
                <c:formatCode>0.00%</c:formatCode>
                <c:ptCount val="140"/>
                <c:pt idx="0">
                  <c:v>0.12609999999999999</c:v>
                </c:pt>
                <c:pt idx="1">
                  <c:v>0.15079999999999999</c:v>
                </c:pt>
                <c:pt idx="2">
                  <c:v>0.15790000000000001</c:v>
                </c:pt>
                <c:pt idx="3">
                  <c:v>0.36109999999999998</c:v>
                </c:pt>
                <c:pt idx="4">
                  <c:v>0.1923</c:v>
                </c:pt>
                <c:pt idx="5">
                  <c:v>0.2016</c:v>
                </c:pt>
                <c:pt idx="6">
                  <c:v>0.16539999999999999</c:v>
                </c:pt>
                <c:pt idx="7">
                  <c:v>0.17829999999999999</c:v>
                </c:pt>
                <c:pt idx="8">
                  <c:v>0.1736</c:v>
                </c:pt>
                <c:pt idx="9">
                  <c:v>0.14530000000000001</c:v>
                </c:pt>
                <c:pt idx="10">
                  <c:v>0.13189999999999999</c:v>
                </c:pt>
                <c:pt idx="11">
                  <c:v>0.13009999999999999</c:v>
                </c:pt>
                <c:pt idx="12">
                  <c:v>0.17069999999999999</c:v>
                </c:pt>
                <c:pt idx="13">
                  <c:v>0.13600000000000001</c:v>
                </c:pt>
                <c:pt idx="14">
                  <c:v>0.12820000000000001</c:v>
                </c:pt>
                <c:pt idx="15">
                  <c:v>0.127</c:v>
                </c:pt>
                <c:pt idx="16">
                  <c:v>0.08</c:v>
                </c:pt>
                <c:pt idx="17">
                  <c:v>8.8499999999999995E-2</c:v>
                </c:pt>
                <c:pt idx="18">
                  <c:v>0.2195</c:v>
                </c:pt>
                <c:pt idx="19">
                  <c:v>0.1855</c:v>
                </c:pt>
                <c:pt idx="20">
                  <c:v>0.18110000000000001</c:v>
                </c:pt>
                <c:pt idx="21">
                  <c:v>0.21310000000000001</c:v>
                </c:pt>
                <c:pt idx="22">
                  <c:v>0.2016</c:v>
                </c:pt>
                <c:pt idx="23">
                  <c:v>0.188</c:v>
                </c:pt>
                <c:pt idx="24">
                  <c:v>0.21929999999999999</c:v>
                </c:pt>
                <c:pt idx="25">
                  <c:v>0.2288</c:v>
                </c:pt>
                <c:pt idx="26">
                  <c:v>0.2185</c:v>
                </c:pt>
                <c:pt idx="27">
                  <c:v>0.23080000000000001</c:v>
                </c:pt>
                <c:pt idx="28">
                  <c:v>0.22500000000000001</c:v>
                </c:pt>
                <c:pt idx="29">
                  <c:v>0.19670000000000001</c:v>
                </c:pt>
                <c:pt idx="30">
                  <c:v>0.2712</c:v>
                </c:pt>
                <c:pt idx="31">
                  <c:v>0.29909999999999998</c:v>
                </c:pt>
                <c:pt idx="32">
                  <c:v>0.2727</c:v>
                </c:pt>
                <c:pt idx="33">
                  <c:v>0.27729999999999999</c:v>
                </c:pt>
                <c:pt idx="34">
                  <c:v>0.34910000000000002</c:v>
                </c:pt>
                <c:pt idx="35">
                  <c:v>0.33329999999999999</c:v>
                </c:pt>
                <c:pt idx="36">
                  <c:v>0.3246</c:v>
                </c:pt>
                <c:pt idx="37">
                  <c:v>0.30909999999999999</c:v>
                </c:pt>
                <c:pt idx="38">
                  <c:v>0.33979999999999999</c:v>
                </c:pt>
                <c:pt idx="39">
                  <c:v>0.28999999999999998</c:v>
                </c:pt>
                <c:pt idx="40">
                  <c:v>0.31253999999999998</c:v>
                </c:pt>
                <c:pt idx="41">
                  <c:v>0.33329999999999999</c:v>
                </c:pt>
                <c:pt idx="42">
                  <c:v>0.26169999999999999</c:v>
                </c:pt>
                <c:pt idx="43">
                  <c:v>0.2051</c:v>
                </c:pt>
                <c:pt idx="44">
                  <c:v>0.22689999999999999</c:v>
                </c:pt>
                <c:pt idx="45">
                  <c:v>0.22309999999999999</c:v>
                </c:pt>
                <c:pt idx="46">
                  <c:v>0.25580000000000003</c:v>
                </c:pt>
                <c:pt idx="47">
                  <c:v>0.2016</c:v>
                </c:pt>
                <c:pt idx="48">
                  <c:v>0.17499999999999999</c:v>
                </c:pt>
                <c:pt idx="49">
                  <c:v>0.18179999999999999</c:v>
                </c:pt>
                <c:pt idx="50">
                  <c:v>0.1802</c:v>
                </c:pt>
                <c:pt idx="51">
                  <c:v>0.20180000000000001</c:v>
                </c:pt>
                <c:pt idx="52">
                  <c:v>0.14810000000000001</c:v>
                </c:pt>
                <c:pt idx="53">
                  <c:v>0.2059</c:v>
                </c:pt>
                <c:pt idx="54">
                  <c:v>0.19089999999999999</c:v>
                </c:pt>
                <c:pt idx="55">
                  <c:v>0.20449999999999999</c:v>
                </c:pt>
                <c:pt idx="56">
                  <c:v>0.2432</c:v>
                </c:pt>
                <c:pt idx="57">
                  <c:v>0.19489999999999999</c:v>
                </c:pt>
                <c:pt idx="58">
                  <c:v>0.2137</c:v>
                </c:pt>
                <c:pt idx="59">
                  <c:v>0.2</c:v>
                </c:pt>
                <c:pt idx="60">
                  <c:v>0.2586</c:v>
                </c:pt>
                <c:pt idx="61">
                  <c:v>0.24110000000000001</c:v>
                </c:pt>
                <c:pt idx="62">
                  <c:v>0.21360000000000001</c:v>
                </c:pt>
                <c:pt idx="63">
                  <c:v>0.19420000000000001</c:v>
                </c:pt>
                <c:pt idx="64">
                  <c:v>0.19439999999999999</c:v>
                </c:pt>
                <c:pt idx="65">
                  <c:v>0.25219999999999998</c:v>
                </c:pt>
                <c:pt idx="66">
                  <c:v>0.1961</c:v>
                </c:pt>
                <c:pt idx="67">
                  <c:v>0.2087</c:v>
                </c:pt>
                <c:pt idx="68">
                  <c:v>0.23710000000000001</c:v>
                </c:pt>
                <c:pt idx="69">
                  <c:v>0.27179999999999999</c:v>
                </c:pt>
                <c:pt idx="70">
                  <c:v>0.29809999999999998</c:v>
                </c:pt>
                <c:pt idx="71">
                  <c:v>0.27450000000000002</c:v>
                </c:pt>
                <c:pt idx="72">
                  <c:v>0.1237</c:v>
                </c:pt>
                <c:pt idx="73">
                  <c:v>0.1845</c:v>
                </c:pt>
                <c:pt idx="74">
                  <c:v>0.23280000000000001</c:v>
                </c:pt>
                <c:pt idx="75">
                  <c:v>0.33329999999999999</c:v>
                </c:pt>
                <c:pt idx="76">
                  <c:v>0.22550000000000001</c:v>
                </c:pt>
                <c:pt idx="77">
                  <c:v>0.17430000000000001</c:v>
                </c:pt>
                <c:pt idx="78">
                  <c:v>0.21360000000000001</c:v>
                </c:pt>
                <c:pt idx="79">
                  <c:v>0.26469999999999999</c:v>
                </c:pt>
                <c:pt idx="80">
                  <c:v>0.29699999999999999</c:v>
                </c:pt>
                <c:pt idx="81">
                  <c:v>0.2762</c:v>
                </c:pt>
                <c:pt idx="82">
                  <c:v>0.25230000000000002</c:v>
                </c:pt>
                <c:pt idx="83">
                  <c:v>0.34910000000000002</c:v>
                </c:pt>
                <c:pt idx="84">
                  <c:v>0.2571</c:v>
                </c:pt>
                <c:pt idx="85">
                  <c:v>0.22</c:v>
                </c:pt>
                <c:pt idx="86">
                  <c:v>0.2626</c:v>
                </c:pt>
                <c:pt idx="87">
                  <c:v>0.31309999999999999</c:v>
                </c:pt>
                <c:pt idx="88">
                  <c:v>0.25490000000000002</c:v>
                </c:pt>
                <c:pt idx="89">
                  <c:v>0.31309999999999999</c:v>
                </c:pt>
                <c:pt idx="90">
                  <c:v>0.34</c:v>
                </c:pt>
                <c:pt idx="91">
                  <c:v>0.28710000000000002</c:v>
                </c:pt>
                <c:pt idx="92">
                  <c:v>0.25769999999999998</c:v>
                </c:pt>
                <c:pt idx="93">
                  <c:v>0.14410000000000001</c:v>
                </c:pt>
                <c:pt idx="94">
                  <c:v>0.18559999999999999</c:v>
                </c:pt>
                <c:pt idx="95">
                  <c:v>0.23080000000000001</c:v>
                </c:pt>
                <c:pt idx="96">
                  <c:v>0.25</c:v>
                </c:pt>
                <c:pt idx="97">
                  <c:v>0.32040000000000002</c:v>
                </c:pt>
                <c:pt idx="98">
                  <c:v>0.1963</c:v>
                </c:pt>
                <c:pt idx="99">
                  <c:v>0.22520000000000001</c:v>
                </c:pt>
                <c:pt idx="100">
                  <c:v>0.16070000000000001</c:v>
                </c:pt>
                <c:pt idx="101">
                  <c:v>0.14410000000000001</c:v>
                </c:pt>
                <c:pt idx="102">
                  <c:v>0.16669999999999999</c:v>
                </c:pt>
                <c:pt idx="103">
                  <c:v>0.15090000000000001</c:v>
                </c:pt>
                <c:pt idx="104">
                  <c:v>0.1842</c:v>
                </c:pt>
                <c:pt idx="105">
                  <c:v>0.1875</c:v>
                </c:pt>
                <c:pt idx="106">
                  <c:v>0.16819999999999999</c:v>
                </c:pt>
                <c:pt idx="107">
                  <c:v>0.23380000000000001</c:v>
                </c:pt>
                <c:pt idx="108">
                  <c:v>0.3579</c:v>
                </c:pt>
                <c:pt idx="109">
                  <c:v>0.25</c:v>
                </c:pt>
                <c:pt idx="110">
                  <c:v>0.21779999999999999</c:v>
                </c:pt>
                <c:pt idx="111">
                  <c:v>0.26129999999999998</c:v>
                </c:pt>
                <c:pt idx="112">
                  <c:v>0.26169999999999999</c:v>
                </c:pt>
                <c:pt idx="113">
                  <c:v>0.1981</c:v>
                </c:pt>
                <c:pt idx="114">
                  <c:v>0.2</c:v>
                </c:pt>
                <c:pt idx="115">
                  <c:v>0.22220000000000001</c:v>
                </c:pt>
                <c:pt idx="116">
                  <c:v>0.2054</c:v>
                </c:pt>
                <c:pt idx="117">
                  <c:v>0.2</c:v>
                </c:pt>
                <c:pt idx="118">
                  <c:v>0.2286</c:v>
                </c:pt>
                <c:pt idx="119">
                  <c:v>0.2135</c:v>
                </c:pt>
                <c:pt idx="120">
                  <c:v>0.2475</c:v>
                </c:pt>
                <c:pt idx="121">
                  <c:v>0.18559999999999999</c:v>
                </c:pt>
                <c:pt idx="122">
                  <c:v>0.1414</c:v>
                </c:pt>
                <c:pt idx="123">
                  <c:v>0.18099999999999999</c:v>
                </c:pt>
                <c:pt idx="124">
                  <c:v>0.24529999999999999</c:v>
                </c:pt>
                <c:pt idx="125">
                  <c:v>0.25840000000000002</c:v>
                </c:pt>
                <c:pt idx="126">
                  <c:v>0.2079</c:v>
                </c:pt>
                <c:pt idx="127">
                  <c:v>0.2165</c:v>
                </c:pt>
                <c:pt idx="128">
                  <c:v>0.1951</c:v>
                </c:pt>
                <c:pt idx="129">
                  <c:v>0.25840000000000002</c:v>
                </c:pt>
                <c:pt idx="130">
                  <c:v>0.21879999999999999</c:v>
                </c:pt>
                <c:pt idx="131">
                  <c:v>0.21429999999999999</c:v>
                </c:pt>
              </c:numCache>
            </c:numRef>
          </c:val>
          <c:smooth val="0"/>
          <c:extLst>
            <c:ext xmlns:c16="http://schemas.microsoft.com/office/drawing/2014/chart" uri="{C3380CC4-5D6E-409C-BE32-E72D297353CC}">
              <c16:uniqueId val="{00000000-7949-47A0-96E5-E23098C23890}"/>
            </c:ext>
          </c:extLst>
        </c:ser>
        <c:ser>
          <c:idx val="3"/>
          <c:order val="3"/>
          <c:tx>
            <c:strRef>
              <c:f>Sheet1!$E$15</c:f>
              <c:strCache>
                <c:ptCount val="1"/>
                <c:pt idx="0">
                  <c:v>Amber %</c:v>
                </c:pt>
              </c:strCache>
            </c:strRef>
          </c:tx>
          <c:spPr>
            <a:ln w="28575" cap="rnd">
              <a:solidFill>
                <a:srgbClr val="FFC000"/>
              </a:solidFill>
              <a:round/>
            </a:ln>
            <a:effectLst/>
          </c:spPr>
          <c:marker>
            <c:symbol val="none"/>
          </c:marker>
          <c:cat>
            <c:numRef>
              <c:f>Sheet1!$A$16:$A$163</c:f>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f>Sheet1!$E$16:$E$155</c:f>
              <c:numCache>
                <c:formatCode>0.00%</c:formatCode>
                <c:ptCount val="140"/>
                <c:pt idx="0">
                  <c:v>0.63959999999999995</c:v>
                </c:pt>
                <c:pt idx="1">
                  <c:v>0.50790000000000002</c:v>
                </c:pt>
                <c:pt idx="2">
                  <c:v>0.48249999999999998</c:v>
                </c:pt>
                <c:pt idx="3">
                  <c:v>0.48149999999999998</c:v>
                </c:pt>
                <c:pt idx="4">
                  <c:v>0.56920000000000004</c:v>
                </c:pt>
                <c:pt idx="5">
                  <c:v>0.5161</c:v>
                </c:pt>
                <c:pt idx="6">
                  <c:v>0.61419999999999997</c:v>
                </c:pt>
                <c:pt idx="7">
                  <c:v>0.56689999999999996</c:v>
                </c:pt>
                <c:pt idx="8">
                  <c:v>0.56940000000000002</c:v>
                </c:pt>
                <c:pt idx="9">
                  <c:v>0.56410000000000005</c:v>
                </c:pt>
                <c:pt idx="10">
                  <c:v>0.53469999999999995</c:v>
                </c:pt>
                <c:pt idx="11">
                  <c:v>0.57720000000000005</c:v>
                </c:pt>
                <c:pt idx="12">
                  <c:v>0.60980000000000001</c:v>
                </c:pt>
                <c:pt idx="13">
                  <c:v>0.60799999999999998</c:v>
                </c:pt>
                <c:pt idx="14">
                  <c:v>0.56410000000000005</c:v>
                </c:pt>
                <c:pt idx="15">
                  <c:v>0.55559999999999998</c:v>
                </c:pt>
                <c:pt idx="16">
                  <c:v>0.58399999999999996</c:v>
                </c:pt>
                <c:pt idx="17">
                  <c:v>0.54869999999999997</c:v>
                </c:pt>
                <c:pt idx="18">
                  <c:v>0.56910000000000005</c:v>
                </c:pt>
                <c:pt idx="19">
                  <c:v>0.6129</c:v>
                </c:pt>
                <c:pt idx="20">
                  <c:v>0.63780000000000003</c:v>
                </c:pt>
                <c:pt idx="21">
                  <c:v>0.60660000000000003</c:v>
                </c:pt>
                <c:pt idx="22">
                  <c:v>0.629</c:v>
                </c:pt>
                <c:pt idx="23">
                  <c:v>0.6391</c:v>
                </c:pt>
                <c:pt idx="24">
                  <c:v>0.61399999999999999</c:v>
                </c:pt>
                <c:pt idx="25">
                  <c:v>0.59319999999999995</c:v>
                </c:pt>
                <c:pt idx="26">
                  <c:v>0.66390000000000005</c:v>
                </c:pt>
                <c:pt idx="27">
                  <c:v>0.59230000000000005</c:v>
                </c:pt>
                <c:pt idx="28">
                  <c:v>0.56669999999999998</c:v>
                </c:pt>
                <c:pt idx="29">
                  <c:v>0.63929999999999998</c:v>
                </c:pt>
                <c:pt idx="30">
                  <c:v>0.56779999999999997</c:v>
                </c:pt>
                <c:pt idx="31">
                  <c:v>0.45789999999999997</c:v>
                </c:pt>
                <c:pt idx="32">
                  <c:v>0.50409999999999999</c:v>
                </c:pt>
                <c:pt idx="33">
                  <c:v>0.53779999999999994</c:v>
                </c:pt>
                <c:pt idx="34">
                  <c:v>0.55659999999999998</c:v>
                </c:pt>
                <c:pt idx="35">
                  <c:v>0.6</c:v>
                </c:pt>
                <c:pt idx="36">
                  <c:v>0.5877</c:v>
                </c:pt>
                <c:pt idx="37">
                  <c:v>0.58179999999999998</c:v>
                </c:pt>
                <c:pt idx="38">
                  <c:v>0.56310000000000004</c:v>
                </c:pt>
                <c:pt idx="39">
                  <c:v>0.6</c:v>
                </c:pt>
                <c:pt idx="40">
                  <c:v>0.57140000000000002</c:v>
                </c:pt>
                <c:pt idx="41">
                  <c:v>0.54549999999999998</c:v>
                </c:pt>
                <c:pt idx="42">
                  <c:v>0.58879999999999999</c:v>
                </c:pt>
                <c:pt idx="43">
                  <c:v>0.67519999999999991</c:v>
                </c:pt>
                <c:pt idx="44">
                  <c:v>0.63029999999999997</c:v>
                </c:pt>
                <c:pt idx="45">
                  <c:v>0.61980000000000002</c:v>
                </c:pt>
                <c:pt idx="46">
                  <c:v>0.62020000000000008</c:v>
                </c:pt>
                <c:pt idx="47">
                  <c:v>0.6613</c:v>
                </c:pt>
                <c:pt idx="48">
                  <c:v>0.6583</c:v>
                </c:pt>
                <c:pt idx="49">
                  <c:v>0.61980000000000002</c:v>
                </c:pt>
                <c:pt idx="50">
                  <c:v>0.62159999999999993</c:v>
                </c:pt>
                <c:pt idx="51">
                  <c:v>0.64040000000000008</c:v>
                </c:pt>
                <c:pt idx="52">
                  <c:v>0.67590000000000006</c:v>
                </c:pt>
                <c:pt idx="53">
                  <c:v>0.63729999999999998</c:v>
                </c:pt>
                <c:pt idx="54">
                  <c:v>0.5</c:v>
                </c:pt>
                <c:pt idx="55">
                  <c:v>0.54549999999999998</c:v>
                </c:pt>
                <c:pt idx="56">
                  <c:v>0.54949999999999999</c:v>
                </c:pt>
                <c:pt idx="57">
                  <c:v>0.59319999999999995</c:v>
                </c:pt>
                <c:pt idx="58">
                  <c:v>0.63249999999999995</c:v>
                </c:pt>
                <c:pt idx="59">
                  <c:v>0.63159999999999994</c:v>
                </c:pt>
                <c:pt idx="60">
                  <c:v>0.56899999999999995</c:v>
                </c:pt>
                <c:pt idx="61">
                  <c:v>0.63390000000000002</c:v>
                </c:pt>
                <c:pt idx="62">
                  <c:v>0.61170000000000002</c:v>
                </c:pt>
                <c:pt idx="63">
                  <c:v>0.66989999999999994</c:v>
                </c:pt>
                <c:pt idx="64">
                  <c:v>0.62039999999999995</c:v>
                </c:pt>
                <c:pt idx="65">
                  <c:v>0.59130000000000005</c:v>
                </c:pt>
                <c:pt idx="66">
                  <c:v>0.6470999999999999</c:v>
                </c:pt>
                <c:pt idx="67">
                  <c:v>0.62609999999999999</c:v>
                </c:pt>
                <c:pt idx="68">
                  <c:v>0.58760000000000001</c:v>
                </c:pt>
                <c:pt idx="69">
                  <c:v>0.4854</c:v>
                </c:pt>
                <c:pt idx="70">
                  <c:v>0.50960000000000005</c:v>
                </c:pt>
                <c:pt idx="71">
                  <c:v>0.54899999999999993</c:v>
                </c:pt>
                <c:pt idx="72">
                  <c:v>0.63919999999999999</c:v>
                </c:pt>
                <c:pt idx="73">
                  <c:v>0.66990000000000005</c:v>
                </c:pt>
                <c:pt idx="74">
                  <c:v>0.6552</c:v>
                </c:pt>
                <c:pt idx="75">
                  <c:v>0.54390000000000005</c:v>
                </c:pt>
                <c:pt idx="76">
                  <c:v>0.6765000000000001</c:v>
                </c:pt>
                <c:pt idx="77">
                  <c:v>0.65139999999999998</c:v>
                </c:pt>
                <c:pt idx="78">
                  <c:v>0.66989999999999994</c:v>
                </c:pt>
                <c:pt idx="79">
                  <c:v>0.56859999999999999</c:v>
                </c:pt>
                <c:pt idx="80">
                  <c:v>0.59409999999999996</c:v>
                </c:pt>
                <c:pt idx="81">
                  <c:v>0.59050000000000002</c:v>
                </c:pt>
                <c:pt idx="82">
                  <c:v>0.5514</c:v>
                </c:pt>
                <c:pt idx="83">
                  <c:v>0.53770000000000007</c:v>
                </c:pt>
                <c:pt idx="84">
                  <c:v>0.60950000000000004</c:v>
                </c:pt>
                <c:pt idx="85">
                  <c:v>0.64</c:v>
                </c:pt>
                <c:pt idx="86">
                  <c:v>0.59599999999999997</c:v>
                </c:pt>
                <c:pt idx="87">
                  <c:v>0.49490000000000001</c:v>
                </c:pt>
                <c:pt idx="88">
                  <c:v>0.61760000000000004</c:v>
                </c:pt>
                <c:pt idx="89">
                  <c:v>0.55559999999999998</c:v>
                </c:pt>
                <c:pt idx="90">
                  <c:v>0.5</c:v>
                </c:pt>
                <c:pt idx="91">
                  <c:v>0.58420000000000005</c:v>
                </c:pt>
                <c:pt idx="92">
                  <c:v>0.60819999999999996</c:v>
                </c:pt>
                <c:pt idx="93">
                  <c:v>0.63960000000000006</c:v>
                </c:pt>
                <c:pt idx="94">
                  <c:v>0.67010000000000003</c:v>
                </c:pt>
                <c:pt idx="95">
                  <c:v>0.61539999999999995</c:v>
                </c:pt>
                <c:pt idx="96">
                  <c:v>0.55000000000000004</c:v>
                </c:pt>
                <c:pt idx="97">
                  <c:v>0.4854</c:v>
                </c:pt>
                <c:pt idx="98">
                  <c:v>0.64489999999999992</c:v>
                </c:pt>
                <c:pt idx="99">
                  <c:v>0.63060000000000005</c:v>
                </c:pt>
                <c:pt idx="100">
                  <c:v>0.67859999999999998</c:v>
                </c:pt>
                <c:pt idx="101">
                  <c:v>0.64859999999999995</c:v>
                </c:pt>
                <c:pt idx="102">
                  <c:v>0.66670000000000007</c:v>
                </c:pt>
                <c:pt idx="103">
                  <c:v>0.56600000000000006</c:v>
                </c:pt>
                <c:pt idx="104">
                  <c:v>0.50880000000000003</c:v>
                </c:pt>
                <c:pt idx="105">
                  <c:v>0.54170000000000007</c:v>
                </c:pt>
                <c:pt idx="106">
                  <c:v>0.62619999999999998</c:v>
                </c:pt>
                <c:pt idx="107">
                  <c:v>0.62159999999999993</c:v>
                </c:pt>
                <c:pt idx="108">
                  <c:v>0.56840000000000002</c:v>
                </c:pt>
                <c:pt idx="109">
                  <c:v>0.57289999999999996</c:v>
                </c:pt>
                <c:pt idx="110">
                  <c:v>0.64359999999999995</c:v>
                </c:pt>
                <c:pt idx="111">
                  <c:v>0.61260000000000003</c:v>
                </c:pt>
                <c:pt idx="112">
                  <c:v>0.61680000000000001</c:v>
                </c:pt>
                <c:pt idx="113">
                  <c:v>0.62259999999999993</c:v>
                </c:pt>
                <c:pt idx="114">
                  <c:v>0.63</c:v>
                </c:pt>
                <c:pt idx="115">
                  <c:v>0.54549999999999998</c:v>
                </c:pt>
                <c:pt idx="116">
                  <c:v>0.64290000000000003</c:v>
                </c:pt>
                <c:pt idx="117">
                  <c:v>0.61899999999999999</c:v>
                </c:pt>
                <c:pt idx="118">
                  <c:v>0.68569999999999998</c:v>
                </c:pt>
                <c:pt idx="119">
                  <c:v>0.64040000000000008</c:v>
                </c:pt>
                <c:pt idx="120">
                  <c:v>0.59409999999999996</c:v>
                </c:pt>
                <c:pt idx="121">
                  <c:v>0.62890000000000001</c:v>
                </c:pt>
                <c:pt idx="122">
                  <c:v>0.58590000000000009</c:v>
                </c:pt>
                <c:pt idx="123">
                  <c:v>0.6381</c:v>
                </c:pt>
                <c:pt idx="124">
                  <c:v>0.65090000000000003</c:v>
                </c:pt>
                <c:pt idx="125">
                  <c:v>0.65170000000000006</c:v>
                </c:pt>
                <c:pt idx="126">
                  <c:v>0.67330000000000001</c:v>
                </c:pt>
                <c:pt idx="127">
                  <c:v>0.63919999999999999</c:v>
                </c:pt>
                <c:pt idx="128">
                  <c:v>0.65849999999999997</c:v>
                </c:pt>
                <c:pt idx="129">
                  <c:v>0.58430000000000004</c:v>
                </c:pt>
                <c:pt idx="130">
                  <c:v>0.57289999999999996</c:v>
                </c:pt>
                <c:pt idx="131">
                  <c:v>0.63100000000000001</c:v>
                </c:pt>
              </c:numCache>
            </c:numRef>
          </c:val>
          <c:smooth val="0"/>
          <c:extLst>
            <c:ext xmlns:c16="http://schemas.microsoft.com/office/drawing/2014/chart" uri="{C3380CC4-5D6E-409C-BE32-E72D297353CC}">
              <c16:uniqueId val="{00000001-7949-47A0-96E5-E23098C23890}"/>
            </c:ext>
          </c:extLst>
        </c:ser>
        <c:ser>
          <c:idx val="5"/>
          <c:order val="5"/>
          <c:tx>
            <c:strRef>
              <c:f>Sheet1!$G$15</c:f>
              <c:strCache>
                <c:ptCount val="1"/>
                <c:pt idx="0">
                  <c:v>Red %</c:v>
                </c:pt>
              </c:strCache>
            </c:strRef>
          </c:tx>
          <c:spPr>
            <a:ln w="28575" cap="rnd">
              <a:solidFill>
                <a:srgbClr val="FF0000"/>
              </a:solidFill>
              <a:round/>
            </a:ln>
            <a:effectLst/>
          </c:spPr>
          <c:marker>
            <c:symbol val="none"/>
          </c:marker>
          <c:cat>
            <c:numRef>
              <c:f>Sheet1!$A$16:$A$163</c:f>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f>Sheet1!$G$16:$G$152</c:f>
              <c:numCache>
                <c:formatCode>0.00%</c:formatCode>
                <c:ptCount val="137"/>
                <c:pt idx="0">
                  <c:v>0.2162</c:v>
                </c:pt>
                <c:pt idx="1">
                  <c:v>0.29370000000000002</c:v>
                </c:pt>
                <c:pt idx="2">
                  <c:v>0.307</c:v>
                </c:pt>
                <c:pt idx="3">
                  <c:v>0.14810000000000001</c:v>
                </c:pt>
                <c:pt idx="4">
                  <c:v>0.22309999999999999</c:v>
                </c:pt>
                <c:pt idx="5">
                  <c:v>0.25</c:v>
                </c:pt>
                <c:pt idx="6">
                  <c:v>0.189</c:v>
                </c:pt>
                <c:pt idx="7">
                  <c:v>0.21709999999999999</c:v>
                </c:pt>
                <c:pt idx="8">
                  <c:v>0.21529999999999999</c:v>
                </c:pt>
                <c:pt idx="9">
                  <c:v>0.24790000000000001</c:v>
                </c:pt>
                <c:pt idx="10">
                  <c:v>0.28470000000000001</c:v>
                </c:pt>
                <c:pt idx="11">
                  <c:v>0.2195</c:v>
                </c:pt>
                <c:pt idx="12">
                  <c:v>0.1789</c:v>
                </c:pt>
                <c:pt idx="13">
                  <c:v>0.2</c:v>
                </c:pt>
                <c:pt idx="14">
                  <c:v>0.28210000000000002</c:v>
                </c:pt>
                <c:pt idx="15">
                  <c:v>0.26190000000000002</c:v>
                </c:pt>
                <c:pt idx="16">
                  <c:v>0.28799999999999998</c:v>
                </c:pt>
                <c:pt idx="17">
                  <c:v>0.34510000000000002</c:v>
                </c:pt>
                <c:pt idx="18">
                  <c:v>0.1789</c:v>
                </c:pt>
                <c:pt idx="19">
                  <c:v>0.1774</c:v>
                </c:pt>
                <c:pt idx="20">
                  <c:v>0.18110000000000001</c:v>
                </c:pt>
                <c:pt idx="21">
                  <c:v>0.16389999999999999</c:v>
                </c:pt>
                <c:pt idx="22">
                  <c:v>0.1613</c:v>
                </c:pt>
                <c:pt idx="23">
                  <c:v>0.15790000000000001</c:v>
                </c:pt>
                <c:pt idx="24">
                  <c:v>0.15790000000000001</c:v>
                </c:pt>
                <c:pt idx="25">
                  <c:v>0.1525</c:v>
                </c:pt>
                <c:pt idx="26">
                  <c:v>0.10920000000000001</c:v>
                </c:pt>
                <c:pt idx="27">
                  <c:v>0.1615</c:v>
                </c:pt>
                <c:pt idx="28">
                  <c:v>0.18329999999999999</c:v>
                </c:pt>
                <c:pt idx="29">
                  <c:v>0.15570000000000001</c:v>
                </c:pt>
                <c:pt idx="30">
                  <c:v>0.161</c:v>
                </c:pt>
                <c:pt idx="31">
                  <c:v>0.2243</c:v>
                </c:pt>
                <c:pt idx="32">
                  <c:v>0.21490000000000001</c:v>
                </c:pt>
                <c:pt idx="33">
                  <c:v>0.17649999999999999</c:v>
                </c:pt>
                <c:pt idx="34">
                  <c:v>9.4299999999999995E-2</c:v>
                </c:pt>
                <c:pt idx="35">
                  <c:v>5.8299999999999998E-2</c:v>
                </c:pt>
                <c:pt idx="36">
                  <c:v>8.77E-2</c:v>
                </c:pt>
                <c:pt idx="37">
                  <c:v>0.1</c:v>
                </c:pt>
                <c:pt idx="38">
                  <c:v>8.7400000000000005E-2</c:v>
                </c:pt>
                <c:pt idx="39">
                  <c:v>0.1</c:v>
                </c:pt>
                <c:pt idx="40">
                  <c:v>9.8199999999999996E-2</c:v>
                </c:pt>
                <c:pt idx="41">
                  <c:v>9.0899999999999995E-2</c:v>
                </c:pt>
                <c:pt idx="42">
                  <c:v>0.1308</c:v>
                </c:pt>
                <c:pt idx="43">
                  <c:v>9.4E-2</c:v>
                </c:pt>
                <c:pt idx="44">
                  <c:v>0.1429</c:v>
                </c:pt>
                <c:pt idx="45">
                  <c:v>0.157</c:v>
                </c:pt>
                <c:pt idx="46">
                  <c:v>0.124</c:v>
                </c:pt>
                <c:pt idx="47">
                  <c:v>0.129</c:v>
                </c:pt>
                <c:pt idx="48">
                  <c:v>0.15</c:v>
                </c:pt>
                <c:pt idx="49">
                  <c:v>0.157</c:v>
                </c:pt>
                <c:pt idx="50">
                  <c:v>0.1802</c:v>
                </c:pt>
                <c:pt idx="51">
                  <c:v>0.12280000000000001</c:v>
                </c:pt>
                <c:pt idx="52">
                  <c:v>0.15740000000000001</c:v>
                </c:pt>
                <c:pt idx="53">
                  <c:v>0.1275</c:v>
                </c:pt>
                <c:pt idx="54">
                  <c:v>0.2545</c:v>
                </c:pt>
                <c:pt idx="55">
                  <c:v>0.19320000000000001</c:v>
                </c:pt>
                <c:pt idx="56">
                  <c:v>0.1802</c:v>
                </c:pt>
                <c:pt idx="57">
                  <c:v>0.2034</c:v>
                </c:pt>
                <c:pt idx="58">
                  <c:v>0.14530000000000001</c:v>
                </c:pt>
                <c:pt idx="59">
                  <c:v>0.15790000000000001</c:v>
                </c:pt>
                <c:pt idx="60">
                  <c:v>0.1638</c:v>
                </c:pt>
                <c:pt idx="61">
                  <c:v>0.125</c:v>
                </c:pt>
                <c:pt idx="62">
                  <c:v>0.17480000000000001</c:v>
                </c:pt>
                <c:pt idx="63">
                  <c:v>0.10680000000000001</c:v>
                </c:pt>
                <c:pt idx="64">
                  <c:v>0.16669999999999999</c:v>
                </c:pt>
                <c:pt idx="65">
                  <c:v>0.13039999999999999</c:v>
                </c:pt>
                <c:pt idx="66">
                  <c:v>0.13730000000000001</c:v>
                </c:pt>
                <c:pt idx="67">
                  <c:v>0.14779999999999999</c:v>
                </c:pt>
                <c:pt idx="68">
                  <c:v>0.16489999999999999</c:v>
                </c:pt>
                <c:pt idx="69">
                  <c:v>0.23300000000000001</c:v>
                </c:pt>
                <c:pt idx="70">
                  <c:v>0.1923</c:v>
                </c:pt>
                <c:pt idx="71">
                  <c:v>0.14710000000000001</c:v>
                </c:pt>
                <c:pt idx="72">
                  <c:v>0.23710000000000001</c:v>
                </c:pt>
                <c:pt idx="73">
                  <c:v>0.14560000000000001</c:v>
                </c:pt>
                <c:pt idx="74">
                  <c:v>0.10339999999999999</c:v>
                </c:pt>
                <c:pt idx="75">
                  <c:v>0.12279999999999999</c:v>
                </c:pt>
                <c:pt idx="76">
                  <c:v>9.8000000000000004E-2</c:v>
                </c:pt>
                <c:pt idx="77">
                  <c:v>0.17430000000000001</c:v>
                </c:pt>
                <c:pt idx="78">
                  <c:v>0.10679999999999999</c:v>
                </c:pt>
                <c:pt idx="79">
                  <c:v>0.14710000000000001</c:v>
                </c:pt>
                <c:pt idx="80">
                  <c:v>0.10890000000000001</c:v>
                </c:pt>
                <c:pt idx="81">
                  <c:v>0.12380000000000001</c:v>
                </c:pt>
                <c:pt idx="82">
                  <c:v>0.17760000000000001</c:v>
                </c:pt>
                <c:pt idx="83">
                  <c:v>0.1038</c:v>
                </c:pt>
                <c:pt idx="84">
                  <c:v>0.1333</c:v>
                </c:pt>
                <c:pt idx="85">
                  <c:v>0.14000000000000001</c:v>
                </c:pt>
                <c:pt idx="86">
                  <c:v>0.1414</c:v>
                </c:pt>
                <c:pt idx="87">
                  <c:v>0.18179999999999999</c:v>
                </c:pt>
                <c:pt idx="88">
                  <c:v>0.10779999999999999</c:v>
                </c:pt>
                <c:pt idx="89">
                  <c:v>0.10099999999999999</c:v>
                </c:pt>
                <c:pt idx="90">
                  <c:v>0.15</c:v>
                </c:pt>
                <c:pt idx="91">
                  <c:v>0.12869999999999998</c:v>
                </c:pt>
                <c:pt idx="92">
                  <c:v>0.1134</c:v>
                </c:pt>
                <c:pt idx="93">
                  <c:v>0.1802</c:v>
                </c:pt>
                <c:pt idx="94">
                  <c:v>0.13400000000000001</c:v>
                </c:pt>
                <c:pt idx="95">
                  <c:v>0.1346</c:v>
                </c:pt>
                <c:pt idx="96">
                  <c:v>0.18</c:v>
                </c:pt>
                <c:pt idx="97">
                  <c:v>0.15529999999999999</c:v>
                </c:pt>
                <c:pt idx="98">
                  <c:v>0.1215</c:v>
                </c:pt>
                <c:pt idx="99">
                  <c:v>0.1081</c:v>
                </c:pt>
                <c:pt idx="100">
                  <c:v>0.13390000000000002</c:v>
                </c:pt>
                <c:pt idx="101">
                  <c:v>0.17120000000000002</c:v>
                </c:pt>
                <c:pt idx="102">
                  <c:v>0.13730000000000001</c:v>
                </c:pt>
                <c:pt idx="103">
                  <c:v>0.23579999999999998</c:v>
                </c:pt>
                <c:pt idx="104">
                  <c:v>0.25440000000000002</c:v>
                </c:pt>
                <c:pt idx="105">
                  <c:v>0.25</c:v>
                </c:pt>
                <c:pt idx="106">
                  <c:v>0.17760000000000001</c:v>
                </c:pt>
                <c:pt idx="107">
                  <c:v>8.1099999999999992E-2</c:v>
                </c:pt>
                <c:pt idx="108">
                  <c:v>6.3200000000000006E-2</c:v>
                </c:pt>
                <c:pt idx="109">
                  <c:v>0.16670000000000001</c:v>
                </c:pt>
                <c:pt idx="110">
                  <c:v>0.1188</c:v>
                </c:pt>
                <c:pt idx="111">
                  <c:v>0.1081</c:v>
                </c:pt>
                <c:pt idx="112">
                  <c:v>0.11210000000000001</c:v>
                </c:pt>
                <c:pt idx="113">
                  <c:v>0.16980000000000001</c:v>
                </c:pt>
                <c:pt idx="114">
                  <c:v>0.16</c:v>
                </c:pt>
                <c:pt idx="115">
                  <c:v>0.21210000000000001</c:v>
                </c:pt>
                <c:pt idx="116">
                  <c:v>0.1429</c:v>
                </c:pt>
                <c:pt idx="117">
                  <c:v>0.1714</c:v>
                </c:pt>
                <c:pt idx="118">
                  <c:v>8.5699999999999998E-2</c:v>
                </c:pt>
                <c:pt idx="119">
                  <c:v>0.14610000000000001</c:v>
                </c:pt>
                <c:pt idx="120">
                  <c:v>0.15839999999999999</c:v>
                </c:pt>
                <c:pt idx="121">
                  <c:v>0.16489999999999999</c:v>
                </c:pt>
                <c:pt idx="122">
                  <c:v>0.24239999999999998</c:v>
                </c:pt>
                <c:pt idx="123">
                  <c:v>0.1714</c:v>
                </c:pt>
                <c:pt idx="124">
                  <c:v>0.1038</c:v>
                </c:pt>
                <c:pt idx="125">
                  <c:v>8.9900000000000008E-2</c:v>
                </c:pt>
                <c:pt idx="126">
                  <c:v>0.10890000000000001</c:v>
                </c:pt>
                <c:pt idx="127">
                  <c:v>0.1134</c:v>
                </c:pt>
                <c:pt idx="128">
                  <c:v>0.10980000000000001</c:v>
                </c:pt>
                <c:pt idx="129">
                  <c:v>0.14610000000000001</c:v>
                </c:pt>
                <c:pt idx="130">
                  <c:v>0.16670000000000001</c:v>
                </c:pt>
                <c:pt idx="131">
                  <c:v>0.13100000000000001</c:v>
                </c:pt>
              </c:numCache>
            </c:numRef>
          </c:val>
          <c:smooth val="0"/>
          <c:extLst>
            <c:ext xmlns:c16="http://schemas.microsoft.com/office/drawing/2014/chart" uri="{C3380CC4-5D6E-409C-BE32-E72D297353CC}">
              <c16:uniqueId val="{00000002-7949-47A0-96E5-E23098C23890}"/>
            </c:ext>
          </c:extLst>
        </c:ser>
        <c:ser>
          <c:idx val="7"/>
          <c:order val="7"/>
          <c:tx>
            <c:strRef>
              <c:f>Sheet1!$I$15</c:f>
              <c:strCache>
                <c:ptCount val="1"/>
                <c:pt idx="0">
                  <c:v>Black %</c:v>
                </c:pt>
              </c:strCache>
            </c:strRef>
          </c:tx>
          <c:spPr>
            <a:ln w="28575" cap="rnd">
              <a:solidFill>
                <a:schemeClr val="tx1"/>
              </a:solidFill>
              <a:round/>
            </a:ln>
            <a:effectLst/>
          </c:spPr>
          <c:marker>
            <c:symbol val="none"/>
          </c:marker>
          <c:cat>
            <c:numRef>
              <c:f>Sheet1!$A$16:$A$163</c:f>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f>Sheet1!$I$16:$I$147</c:f>
              <c:numCache>
                <c:formatCode>0.00%</c:formatCode>
                <c:ptCount val="132"/>
                <c:pt idx="0">
                  <c:v>1.7999999999999999E-2</c:v>
                </c:pt>
                <c:pt idx="1">
                  <c:v>4.7600000000000003E-2</c:v>
                </c:pt>
                <c:pt idx="2">
                  <c:v>5.2600000000000001E-2</c:v>
                </c:pt>
                <c:pt idx="3">
                  <c:v>9.2999999999999992E-3</c:v>
                </c:pt>
                <c:pt idx="4">
                  <c:v>1.54E-2</c:v>
                </c:pt>
                <c:pt idx="5">
                  <c:v>3.2300000000000002E-2</c:v>
                </c:pt>
                <c:pt idx="6">
                  <c:v>3.15E-2</c:v>
                </c:pt>
                <c:pt idx="7">
                  <c:v>7.7999999999999996E-3</c:v>
                </c:pt>
                <c:pt idx="8">
                  <c:v>4.1700000000000001E-2</c:v>
                </c:pt>
                <c:pt idx="9">
                  <c:v>4.2700000000000002E-2</c:v>
                </c:pt>
                <c:pt idx="10">
                  <c:v>4.8599999999999997E-2</c:v>
                </c:pt>
                <c:pt idx="11">
                  <c:v>7.3200000000000001E-2</c:v>
                </c:pt>
                <c:pt idx="12">
                  <c:v>4.07E-2</c:v>
                </c:pt>
                <c:pt idx="13">
                  <c:v>5.6000000000000001E-2</c:v>
                </c:pt>
                <c:pt idx="14">
                  <c:v>2.5600000000000001E-2</c:v>
                </c:pt>
                <c:pt idx="15">
                  <c:v>5.5599999999999997E-2</c:v>
                </c:pt>
                <c:pt idx="16">
                  <c:v>4.8000000000000001E-2</c:v>
                </c:pt>
                <c:pt idx="17">
                  <c:v>1.77E-2</c:v>
                </c:pt>
                <c:pt idx="18">
                  <c:v>3.2500000000000001E-2</c:v>
                </c:pt>
                <c:pt idx="19">
                  <c:v>2.4199999999999999E-2</c:v>
                </c:pt>
                <c:pt idx="20">
                  <c:v>0</c:v>
                </c:pt>
                <c:pt idx="21">
                  <c:v>1.6400000000000001E-2</c:v>
                </c:pt>
                <c:pt idx="22">
                  <c:v>8.0999999999999996E-3</c:v>
                </c:pt>
                <c:pt idx="23">
                  <c:v>1.4999999999999999E-2</c:v>
                </c:pt>
                <c:pt idx="24">
                  <c:v>8.8000000000000005E-3</c:v>
                </c:pt>
                <c:pt idx="25">
                  <c:v>2.5399999999999999E-2</c:v>
                </c:pt>
                <c:pt idx="26">
                  <c:v>8.3999999999999995E-3</c:v>
                </c:pt>
                <c:pt idx="27">
                  <c:v>1.54E-2</c:v>
                </c:pt>
                <c:pt idx="28">
                  <c:v>2.5000000000000001E-2</c:v>
                </c:pt>
                <c:pt idx="29">
                  <c:v>2.8E-3</c:v>
                </c:pt>
                <c:pt idx="30">
                  <c:v>0</c:v>
                </c:pt>
                <c:pt idx="31">
                  <c:v>1.8700000000000001E-2</c:v>
                </c:pt>
                <c:pt idx="32">
                  <c:v>8.3000000000000001E-3</c:v>
                </c:pt>
                <c:pt idx="33">
                  <c:v>8.3999999999999995E-3</c:v>
                </c:pt>
                <c:pt idx="34">
                  <c:v>0</c:v>
                </c:pt>
                <c:pt idx="35">
                  <c:v>8.3000000000000001E-3</c:v>
                </c:pt>
                <c:pt idx="36">
                  <c:v>0</c:v>
                </c:pt>
                <c:pt idx="37">
                  <c:v>9.1000000000000004E-3</c:v>
                </c:pt>
                <c:pt idx="38">
                  <c:v>9.7000000000000003E-3</c:v>
                </c:pt>
                <c:pt idx="39">
                  <c:v>0.01</c:v>
                </c:pt>
                <c:pt idx="40">
                  <c:v>1.7899999999999999E-2</c:v>
                </c:pt>
                <c:pt idx="41">
                  <c:v>3.0300000000000001E-2</c:v>
                </c:pt>
                <c:pt idx="42">
                  <c:v>1.8700000000000001E-2</c:v>
                </c:pt>
                <c:pt idx="43">
                  <c:v>2.5600000000000001E-2</c:v>
                </c:pt>
                <c:pt idx="44">
                  <c:v>0</c:v>
                </c:pt>
                <c:pt idx="45">
                  <c:v>0</c:v>
                </c:pt>
                <c:pt idx="46">
                  <c:v>0</c:v>
                </c:pt>
                <c:pt idx="47">
                  <c:v>8.0999999999999996E-3</c:v>
                </c:pt>
                <c:pt idx="48">
                  <c:v>1.67E-2</c:v>
                </c:pt>
                <c:pt idx="49">
                  <c:v>4.1300000000000003E-2</c:v>
                </c:pt>
                <c:pt idx="50">
                  <c:v>1.7999999999999999E-2</c:v>
                </c:pt>
                <c:pt idx="51">
                  <c:v>3.5099999999999999E-2</c:v>
                </c:pt>
                <c:pt idx="52">
                  <c:v>1.8500000000000003E-2</c:v>
                </c:pt>
                <c:pt idx="53">
                  <c:v>2.9399999999999999E-2</c:v>
                </c:pt>
                <c:pt idx="54">
                  <c:v>5.45E-2</c:v>
                </c:pt>
                <c:pt idx="55">
                  <c:v>5.6799999999999996E-2</c:v>
                </c:pt>
                <c:pt idx="56">
                  <c:v>2.7000000000000003E-2</c:v>
                </c:pt>
                <c:pt idx="57">
                  <c:v>8.5000000000000006E-3</c:v>
                </c:pt>
                <c:pt idx="58">
                  <c:v>8.5000000000000006E-3</c:v>
                </c:pt>
                <c:pt idx="59">
                  <c:v>1.0500000000000001E-2</c:v>
                </c:pt>
                <c:pt idx="60">
                  <c:v>8.6E-3</c:v>
                </c:pt>
                <c:pt idx="61">
                  <c:v>0</c:v>
                </c:pt>
                <c:pt idx="62">
                  <c:v>0</c:v>
                </c:pt>
                <c:pt idx="63">
                  <c:v>2.9100000000000001E-2</c:v>
                </c:pt>
                <c:pt idx="64">
                  <c:v>1.8500000000000003E-2</c:v>
                </c:pt>
                <c:pt idx="65">
                  <c:v>2.6099999999999998E-2</c:v>
                </c:pt>
                <c:pt idx="66">
                  <c:v>1.9599999999999999E-2</c:v>
                </c:pt>
                <c:pt idx="67">
                  <c:v>1.7399999999999999E-2</c:v>
                </c:pt>
                <c:pt idx="68">
                  <c:v>1.03E-2</c:v>
                </c:pt>
                <c:pt idx="69">
                  <c:v>9.7000000000000003E-3</c:v>
                </c:pt>
                <c:pt idx="70">
                  <c:v>0</c:v>
                </c:pt>
                <c:pt idx="71">
                  <c:v>2.9399999999999999E-2</c:v>
                </c:pt>
                <c:pt idx="72">
                  <c:v>0</c:v>
                </c:pt>
                <c:pt idx="73">
                  <c:v>0</c:v>
                </c:pt>
                <c:pt idx="74">
                  <c:v>8.6E-3</c:v>
                </c:pt>
                <c:pt idx="75">
                  <c:v>0</c:v>
                </c:pt>
                <c:pt idx="76">
                  <c:v>0</c:v>
                </c:pt>
                <c:pt idx="77">
                  <c:v>0</c:v>
                </c:pt>
                <c:pt idx="78">
                  <c:v>9.7000000000000003E-3</c:v>
                </c:pt>
                <c:pt idx="79">
                  <c:v>1.9599999999999999E-2</c:v>
                </c:pt>
                <c:pt idx="80">
                  <c:v>0</c:v>
                </c:pt>
                <c:pt idx="81">
                  <c:v>9.4999999999999998E-3</c:v>
                </c:pt>
                <c:pt idx="82">
                  <c:v>1.8700000000000001E-2</c:v>
                </c:pt>
                <c:pt idx="83">
                  <c:v>9.4000000000000004E-3</c:v>
                </c:pt>
                <c:pt idx="84">
                  <c:v>0</c:v>
                </c:pt>
                <c:pt idx="85">
                  <c:v>0</c:v>
                </c:pt>
                <c:pt idx="86">
                  <c:v>0</c:v>
                </c:pt>
                <c:pt idx="87">
                  <c:v>1.01E-2</c:v>
                </c:pt>
                <c:pt idx="88">
                  <c:v>1.9599999999999999E-2</c:v>
                </c:pt>
                <c:pt idx="89">
                  <c:v>3.0299999999999997E-2</c:v>
                </c:pt>
                <c:pt idx="90">
                  <c:v>0.01</c:v>
                </c:pt>
                <c:pt idx="91">
                  <c:v>0</c:v>
                </c:pt>
                <c:pt idx="92">
                  <c:v>2.06E-2</c:v>
                </c:pt>
                <c:pt idx="93">
                  <c:v>3.6000000000000004E-2</c:v>
                </c:pt>
                <c:pt idx="94">
                  <c:v>1.03E-2</c:v>
                </c:pt>
                <c:pt idx="95">
                  <c:v>1.9199999999999998E-2</c:v>
                </c:pt>
                <c:pt idx="96">
                  <c:v>0.02</c:v>
                </c:pt>
                <c:pt idx="97">
                  <c:v>3.8800000000000001E-2</c:v>
                </c:pt>
                <c:pt idx="98">
                  <c:v>3.7400000000000003E-2</c:v>
                </c:pt>
                <c:pt idx="99">
                  <c:v>3.6000000000000004E-2</c:v>
                </c:pt>
                <c:pt idx="100">
                  <c:v>2.6800000000000001E-2</c:v>
                </c:pt>
                <c:pt idx="101">
                  <c:v>3.6000000000000004E-2</c:v>
                </c:pt>
                <c:pt idx="102">
                  <c:v>2.9399999999999999E-2</c:v>
                </c:pt>
                <c:pt idx="103">
                  <c:v>4.7199999999999999E-2</c:v>
                </c:pt>
                <c:pt idx="104">
                  <c:v>5.2600000000000001E-2</c:v>
                </c:pt>
                <c:pt idx="105">
                  <c:v>2.0799999999999999E-2</c:v>
                </c:pt>
                <c:pt idx="106">
                  <c:v>2.7999999999999997E-2</c:v>
                </c:pt>
                <c:pt idx="107">
                  <c:v>1.3500000000000002E-2</c:v>
                </c:pt>
                <c:pt idx="108">
                  <c:v>1.0500000000000001E-2</c:v>
                </c:pt>
                <c:pt idx="109">
                  <c:v>1.04E-2</c:v>
                </c:pt>
                <c:pt idx="110">
                  <c:v>1.9799999999999998E-2</c:v>
                </c:pt>
                <c:pt idx="111">
                  <c:v>1.8000000000000002E-2</c:v>
                </c:pt>
                <c:pt idx="112">
                  <c:v>9.2999999999999992E-3</c:v>
                </c:pt>
                <c:pt idx="113">
                  <c:v>9.4000000000000004E-3</c:v>
                </c:pt>
                <c:pt idx="114">
                  <c:v>0.01</c:v>
                </c:pt>
                <c:pt idx="115">
                  <c:v>2.0199999999999999E-2</c:v>
                </c:pt>
                <c:pt idx="116">
                  <c:v>8.8999999999999999E-3</c:v>
                </c:pt>
                <c:pt idx="117">
                  <c:v>9.4999999999999998E-3</c:v>
                </c:pt>
                <c:pt idx="118">
                  <c:v>0</c:v>
                </c:pt>
                <c:pt idx="119">
                  <c:v>0</c:v>
                </c:pt>
                <c:pt idx="120">
                  <c:v>0</c:v>
                </c:pt>
                <c:pt idx="121">
                  <c:v>2.06E-2</c:v>
                </c:pt>
                <c:pt idx="122">
                  <c:v>3.0299999999999997E-2</c:v>
                </c:pt>
                <c:pt idx="123">
                  <c:v>9.4999999999999998E-3</c:v>
                </c:pt>
                <c:pt idx="124">
                  <c:v>0</c:v>
                </c:pt>
                <c:pt idx="125">
                  <c:v>0</c:v>
                </c:pt>
                <c:pt idx="126">
                  <c:v>9.9000000000000008E-3</c:v>
                </c:pt>
                <c:pt idx="127">
                  <c:v>3.0899999999999997E-2</c:v>
                </c:pt>
                <c:pt idx="128">
                  <c:v>3.6600000000000001E-2</c:v>
                </c:pt>
                <c:pt idx="129">
                  <c:v>1.1200000000000002E-2</c:v>
                </c:pt>
                <c:pt idx="130">
                  <c:v>4.1700000000000001E-2</c:v>
                </c:pt>
                <c:pt idx="131">
                  <c:v>2.3799999999999998E-2</c:v>
                </c:pt>
              </c:numCache>
            </c:numRef>
          </c:val>
          <c:smooth val="0"/>
          <c:extLst>
            <c:ext xmlns:c16="http://schemas.microsoft.com/office/drawing/2014/chart" uri="{C3380CC4-5D6E-409C-BE32-E72D297353CC}">
              <c16:uniqueId val="{00000003-7949-47A0-96E5-E23098C23890}"/>
            </c:ext>
          </c:extLst>
        </c:ser>
        <c:dLbls>
          <c:showLegendKey val="0"/>
          <c:showVal val="0"/>
          <c:showCatName val="0"/>
          <c:showSerName val="0"/>
          <c:showPercent val="0"/>
          <c:showBubbleSize val="0"/>
        </c:dLbls>
        <c:smooth val="0"/>
        <c:axId val="1059889295"/>
        <c:axId val="1229946591"/>
        <c:extLst>
          <c:ext xmlns:c15="http://schemas.microsoft.com/office/drawing/2012/chart" uri="{02D57815-91ED-43cb-92C2-25804820EDAC}">
            <c15:filteredLineSeries>
              <c15:ser>
                <c:idx val="0"/>
                <c:order val="0"/>
                <c:tx>
                  <c:strRef>
                    <c:extLst>
                      <c:ext uri="{02D57815-91ED-43cb-92C2-25804820EDAC}">
                        <c15:formulaRef>
                          <c15:sqref>Sheet1!$B$15</c15:sqref>
                        </c15:formulaRef>
                      </c:ext>
                    </c:extLst>
                    <c:strCache>
                      <c:ptCount val="1"/>
                      <c:pt idx="0">
                        <c:v>Green</c:v>
                      </c:pt>
                    </c:strCache>
                  </c:strRef>
                </c:tx>
                <c:spPr>
                  <a:ln w="28575" cap="rnd">
                    <a:solidFill>
                      <a:schemeClr val="accent1"/>
                    </a:solidFill>
                    <a:round/>
                  </a:ln>
                  <a:effectLst/>
                </c:spPr>
                <c:marker>
                  <c:symbol val="none"/>
                </c:marker>
                <c:cat>
                  <c:numRef>
                    <c:extLst>
                      <c:ext uri="{02D57815-91ED-43cb-92C2-25804820EDAC}">
                        <c15:formulaRef>
                          <c15:sqref>Sheet1!$A$16:$A$163</c15:sqref>
                        </c15:formulaRef>
                      </c:ext>
                    </c:extLst>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c:ext uri="{02D57815-91ED-43cb-92C2-25804820EDAC}">
                        <c15:formulaRef>
                          <c15:sqref>Sheet1!$B$16:$B$67</c15:sqref>
                        </c15:formulaRef>
                      </c:ext>
                    </c:extLst>
                    <c:numCache>
                      <c:formatCode>General</c:formatCode>
                      <c:ptCount val="52"/>
                      <c:pt idx="0">
                        <c:v>14</c:v>
                      </c:pt>
                      <c:pt idx="1">
                        <c:v>19</c:v>
                      </c:pt>
                      <c:pt idx="2">
                        <c:v>18</c:v>
                      </c:pt>
                      <c:pt idx="3">
                        <c:v>39</c:v>
                      </c:pt>
                      <c:pt idx="4">
                        <c:v>25</c:v>
                      </c:pt>
                      <c:pt idx="5">
                        <c:v>25</c:v>
                      </c:pt>
                      <c:pt idx="6">
                        <c:v>21</c:v>
                      </c:pt>
                      <c:pt idx="7">
                        <c:v>23</c:v>
                      </c:pt>
                      <c:pt idx="8">
                        <c:v>25</c:v>
                      </c:pt>
                      <c:pt idx="9">
                        <c:v>17</c:v>
                      </c:pt>
                      <c:pt idx="10">
                        <c:v>19</c:v>
                      </c:pt>
                      <c:pt idx="11">
                        <c:v>16</c:v>
                      </c:pt>
                      <c:pt idx="12">
                        <c:v>21</c:v>
                      </c:pt>
                      <c:pt idx="13">
                        <c:v>17</c:v>
                      </c:pt>
                      <c:pt idx="14">
                        <c:v>15</c:v>
                      </c:pt>
                      <c:pt idx="15">
                        <c:v>16</c:v>
                      </c:pt>
                      <c:pt idx="16">
                        <c:v>10</c:v>
                      </c:pt>
                      <c:pt idx="17">
                        <c:v>10</c:v>
                      </c:pt>
                      <c:pt idx="18">
                        <c:v>27</c:v>
                      </c:pt>
                      <c:pt idx="19">
                        <c:v>23</c:v>
                      </c:pt>
                      <c:pt idx="20">
                        <c:v>23</c:v>
                      </c:pt>
                      <c:pt idx="21">
                        <c:v>26</c:v>
                      </c:pt>
                      <c:pt idx="22">
                        <c:v>25</c:v>
                      </c:pt>
                      <c:pt idx="23">
                        <c:v>25</c:v>
                      </c:pt>
                      <c:pt idx="24">
                        <c:v>25</c:v>
                      </c:pt>
                      <c:pt idx="25">
                        <c:v>27</c:v>
                      </c:pt>
                      <c:pt idx="26">
                        <c:v>26</c:v>
                      </c:pt>
                      <c:pt idx="27">
                        <c:v>30</c:v>
                      </c:pt>
                      <c:pt idx="28">
                        <c:v>27</c:v>
                      </c:pt>
                      <c:pt idx="29">
                        <c:v>24</c:v>
                      </c:pt>
                      <c:pt idx="30">
                        <c:v>32</c:v>
                      </c:pt>
                      <c:pt idx="31">
                        <c:v>32</c:v>
                      </c:pt>
                      <c:pt idx="32">
                        <c:v>33</c:v>
                      </c:pt>
                      <c:pt idx="33">
                        <c:v>33</c:v>
                      </c:pt>
                      <c:pt idx="34">
                        <c:v>37</c:v>
                      </c:pt>
                      <c:pt idx="35">
                        <c:v>40</c:v>
                      </c:pt>
                      <c:pt idx="36">
                        <c:v>37</c:v>
                      </c:pt>
                      <c:pt idx="37">
                        <c:v>34</c:v>
                      </c:pt>
                      <c:pt idx="38">
                        <c:v>35</c:v>
                      </c:pt>
                      <c:pt idx="39">
                        <c:v>29</c:v>
                      </c:pt>
                      <c:pt idx="40">
                        <c:v>35</c:v>
                      </c:pt>
                      <c:pt idx="41">
                        <c:v>33</c:v>
                      </c:pt>
                      <c:pt idx="42">
                        <c:v>28</c:v>
                      </c:pt>
                      <c:pt idx="43">
                        <c:v>24</c:v>
                      </c:pt>
                      <c:pt idx="44">
                        <c:v>27</c:v>
                      </c:pt>
                      <c:pt idx="45">
                        <c:v>27</c:v>
                      </c:pt>
                      <c:pt idx="46">
                        <c:v>33</c:v>
                      </c:pt>
                      <c:pt idx="47">
                        <c:v>25</c:v>
                      </c:pt>
                      <c:pt idx="48">
                        <c:v>21</c:v>
                      </c:pt>
                      <c:pt idx="49">
                        <c:v>22</c:v>
                      </c:pt>
                      <c:pt idx="50">
                        <c:v>20</c:v>
                      </c:pt>
                      <c:pt idx="51">
                        <c:v>23</c:v>
                      </c:pt>
                    </c:numCache>
                  </c:numRef>
                </c:val>
                <c:smooth val="0"/>
                <c:extLst>
                  <c:ext xmlns:c16="http://schemas.microsoft.com/office/drawing/2014/chart" uri="{C3380CC4-5D6E-409C-BE32-E72D297353CC}">
                    <c16:uniqueId val="{00000004-7949-47A0-96E5-E23098C23890}"/>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Sheet1!$D$15</c15:sqref>
                        </c15:formulaRef>
                      </c:ext>
                    </c:extLst>
                    <c:strCache>
                      <c:ptCount val="1"/>
                      <c:pt idx="0">
                        <c:v>Amber</c:v>
                      </c:pt>
                    </c:strCache>
                  </c:strRef>
                </c:tx>
                <c:spPr>
                  <a:ln w="28575" cap="rnd">
                    <a:solidFill>
                      <a:schemeClr val="accent3"/>
                    </a:solidFill>
                    <a:round/>
                  </a:ln>
                  <a:effectLst/>
                </c:spPr>
                <c:marker>
                  <c:symbol val="none"/>
                </c:marker>
                <c:cat>
                  <c:numRef>
                    <c:extLst xmlns:c15="http://schemas.microsoft.com/office/drawing/2012/chart">
                      <c:ext xmlns:c15="http://schemas.microsoft.com/office/drawing/2012/chart" uri="{02D57815-91ED-43cb-92C2-25804820EDAC}">
                        <c15:formulaRef>
                          <c15:sqref>Sheet1!$A$16:$A$163</c15:sqref>
                        </c15:formulaRef>
                      </c:ext>
                    </c:extLst>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xmlns:c15="http://schemas.microsoft.com/office/drawing/2012/chart">
                      <c:ext xmlns:c15="http://schemas.microsoft.com/office/drawing/2012/chart" uri="{02D57815-91ED-43cb-92C2-25804820EDAC}">
                        <c15:formulaRef>
                          <c15:sqref>Sheet1!$D$16:$D$67</c15:sqref>
                        </c15:formulaRef>
                      </c:ext>
                    </c:extLst>
                    <c:numCache>
                      <c:formatCode>General</c:formatCode>
                      <c:ptCount val="52"/>
                      <c:pt idx="0">
                        <c:v>71</c:v>
                      </c:pt>
                      <c:pt idx="1">
                        <c:v>64</c:v>
                      </c:pt>
                      <c:pt idx="2">
                        <c:v>55</c:v>
                      </c:pt>
                      <c:pt idx="3">
                        <c:v>52</c:v>
                      </c:pt>
                      <c:pt idx="4">
                        <c:v>74</c:v>
                      </c:pt>
                      <c:pt idx="5">
                        <c:v>64</c:v>
                      </c:pt>
                      <c:pt idx="6">
                        <c:v>78</c:v>
                      </c:pt>
                      <c:pt idx="7">
                        <c:v>77</c:v>
                      </c:pt>
                      <c:pt idx="8">
                        <c:v>82</c:v>
                      </c:pt>
                      <c:pt idx="9">
                        <c:v>66</c:v>
                      </c:pt>
                      <c:pt idx="10">
                        <c:v>77</c:v>
                      </c:pt>
                      <c:pt idx="11">
                        <c:v>71</c:v>
                      </c:pt>
                      <c:pt idx="12">
                        <c:v>75</c:v>
                      </c:pt>
                      <c:pt idx="13">
                        <c:v>76</c:v>
                      </c:pt>
                      <c:pt idx="14">
                        <c:v>66</c:v>
                      </c:pt>
                      <c:pt idx="15">
                        <c:v>70</c:v>
                      </c:pt>
                      <c:pt idx="16">
                        <c:v>73</c:v>
                      </c:pt>
                      <c:pt idx="17">
                        <c:v>62</c:v>
                      </c:pt>
                      <c:pt idx="18">
                        <c:v>70</c:v>
                      </c:pt>
                      <c:pt idx="19">
                        <c:v>76</c:v>
                      </c:pt>
                      <c:pt idx="20">
                        <c:v>81</c:v>
                      </c:pt>
                      <c:pt idx="21">
                        <c:v>74</c:v>
                      </c:pt>
                      <c:pt idx="22">
                        <c:v>78</c:v>
                      </c:pt>
                      <c:pt idx="23">
                        <c:v>85</c:v>
                      </c:pt>
                      <c:pt idx="24">
                        <c:v>70</c:v>
                      </c:pt>
                      <c:pt idx="25">
                        <c:v>70</c:v>
                      </c:pt>
                      <c:pt idx="26">
                        <c:v>79</c:v>
                      </c:pt>
                      <c:pt idx="27">
                        <c:v>77</c:v>
                      </c:pt>
                      <c:pt idx="28">
                        <c:v>68</c:v>
                      </c:pt>
                      <c:pt idx="29">
                        <c:v>78</c:v>
                      </c:pt>
                      <c:pt idx="30">
                        <c:v>67</c:v>
                      </c:pt>
                      <c:pt idx="31">
                        <c:v>49</c:v>
                      </c:pt>
                      <c:pt idx="32">
                        <c:v>61</c:v>
                      </c:pt>
                      <c:pt idx="33">
                        <c:v>64</c:v>
                      </c:pt>
                      <c:pt idx="34">
                        <c:v>59</c:v>
                      </c:pt>
                      <c:pt idx="35">
                        <c:v>72</c:v>
                      </c:pt>
                      <c:pt idx="36">
                        <c:v>67</c:v>
                      </c:pt>
                      <c:pt idx="37">
                        <c:v>64</c:v>
                      </c:pt>
                      <c:pt idx="38">
                        <c:v>58</c:v>
                      </c:pt>
                      <c:pt idx="39">
                        <c:v>60</c:v>
                      </c:pt>
                      <c:pt idx="40">
                        <c:v>64</c:v>
                      </c:pt>
                      <c:pt idx="41">
                        <c:v>54</c:v>
                      </c:pt>
                      <c:pt idx="42">
                        <c:v>63</c:v>
                      </c:pt>
                      <c:pt idx="43">
                        <c:v>79</c:v>
                      </c:pt>
                      <c:pt idx="44">
                        <c:v>75</c:v>
                      </c:pt>
                      <c:pt idx="45">
                        <c:v>75</c:v>
                      </c:pt>
                      <c:pt idx="46">
                        <c:v>80</c:v>
                      </c:pt>
                      <c:pt idx="47">
                        <c:v>82</c:v>
                      </c:pt>
                      <c:pt idx="48">
                        <c:v>79</c:v>
                      </c:pt>
                      <c:pt idx="49">
                        <c:v>75</c:v>
                      </c:pt>
                      <c:pt idx="50">
                        <c:v>69</c:v>
                      </c:pt>
                      <c:pt idx="51">
                        <c:v>73</c:v>
                      </c:pt>
                    </c:numCache>
                  </c:numRef>
                </c:val>
                <c:smooth val="0"/>
                <c:extLst xmlns:c15="http://schemas.microsoft.com/office/drawing/2012/chart">
                  <c:ext xmlns:c16="http://schemas.microsoft.com/office/drawing/2014/chart" uri="{C3380CC4-5D6E-409C-BE32-E72D297353CC}">
                    <c16:uniqueId val="{00000005-7949-47A0-96E5-E23098C23890}"/>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Sheet1!$F$15</c15:sqref>
                        </c15:formulaRef>
                      </c:ext>
                    </c:extLst>
                    <c:strCache>
                      <c:ptCount val="1"/>
                      <c:pt idx="0">
                        <c:v>Red</c:v>
                      </c:pt>
                    </c:strCache>
                  </c:strRef>
                </c:tx>
                <c:spPr>
                  <a:ln w="28575" cap="rnd">
                    <a:solidFill>
                      <a:schemeClr val="accent5"/>
                    </a:solidFill>
                    <a:round/>
                  </a:ln>
                  <a:effectLst/>
                </c:spPr>
                <c:marker>
                  <c:symbol val="none"/>
                </c:marker>
                <c:cat>
                  <c:numRef>
                    <c:extLst xmlns:c15="http://schemas.microsoft.com/office/drawing/2012/chart">
                      <c:ext xmlns:c15="http://schemas.microsoft.com/office/drawing/2012/chart" uri="{02D57815-91ED-43cb-92C2-25804820EDAC}">
                        <c15:formulaRef>
                          <c15:sqref>Sheet1!$A$16:$A$163</c15:sqref>
                        </c15:formulaRef>
                      </c:ext>
                    </c:extLst>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xmlns:c15="http://schemas.microsoft.com/office/drawing/2012/chart">
                      <c:ext xmlns:c15="http://schemas.microsoft.com/office/drawing/2012/chart" uri="{02D57815-91ED-43cb-92C2-25804820EDAC}">
                        <c15:formulaRef>
                          <c15:sqref>Sheet1!$F$16:$F$67</c15:sqref>
                        </c15:formulaRef>
                      </c:ext>
                    </c:extLst>
                    <c:numCache>
                      <c:formatCode>General</c:formatCode>
                      <c:ptCount val="52"/>
                      <c:pt idx="0">
                        <c:v>24</c:v>
                      </c:pt>
                      <c:pt idx="1">
                        <c:v>37</c:v>
                      </c:pt>
                      <c:pt idx="2">
                        <c:v>35</c:v>
                      </c:pt>
                      <c:pt idx="3">
                        <c:v>16</c:v>
                      </c:pt>
                      <c:pt idx="4">
                        <c:v>29</c:v>
                      </c:pt>
                      <c:pt idx="5">
                        <c:v>31</c:v>
                      </c:pt>
                      <c:pt idx="6">
                        <c:v>24</c:v>
                      </c:pt>
                      <c:pt idx="7">
                        <c:v>28</c:v>
                      </c:pt>
                      <c:pt idx="8">
                        <c:v>31</c:v>
                      </c:pt>
                      <c:pt idx="9">
                        <c:v>29</c:v>
                      </c:pt>
                      <c:pt idx="10">
                        <c:v>41</c:v>
                      </c:pt>
                      <c:pt idx="11">
                        <c:v>27</c:v>
                      </c:pt>
                      <c:pt idx="12">
                        <c:v>22</c:v>
                      </c:pt>
                      <c:pt idx="13">
                        <c:v>25</c:v>
                      </c:pt>
                      <c:pt idx="14">
                        <c:v>33</c:v>
                      </c:pt>
                      <c:pt idx="15">
                        <c:v>33</c:v>
                      </c:pt>
                      <c:pt idx="16">
                        <c:v>36</c:v>
                      </c:pt>
                      <c:pt idx="17">
                        <c:v>39</c:v>
                      </c:pt>
                      <c:pt idx="18">
                        <c:v>22</c:v>
                      </c:pt>
                      <c:pt idx="19">
                        <c:v>22</c:v>
                      </c:pt>
                      <c:pt idx="20">
                        <c:v>23</c:v>
                      </c:pt>
                      <c:pt idx="21">
                        <c:v>20</c:v>
                      </c:pt>
                      <c:pt idx="22">
                        <c:v>20</c:v>
                      </c:pt>
                      <c:pt idx="23">
                        <c:v>21</c:v>
                      </c:pt>
                      <c:pt idx="24">
                        <c:v>18</c:v>
                      </c:pt>
                      <c:pt idx="25">
                        <c:v>18</c:v>
                      </c:pt>
                      <c:pt idx="26">
                        <c:v>13</c:v>
                      </c:pt>
                      <c:pt idx="27">
                        <c:v>21</c:v>
                      </c:pt>
                      <c:pt idx="28">
                        <c:v>22</c:v>
                      </c:pt>
                      <c:pt idx="29">
                        <c:v>19</c:v>
                      </c:pt>
                      <c:pt idx="30">
                        <c:v>19</c:v>
                      </c:pt>
                      <c:pt idx="31">
                        <c:v>24</c:v>
                      </c:pt>
                      <c:pt idx="32">
                        <c:v>26</c:v>
                      </c:pt>
                      <c:pt idx="33">
                        <c:v>31</c:v>
                      </c:pt>
                      <c:pt idx="34">
                        <c:v>10</c:v>
                      </c:pt>
                      <c:pt idx="35">
                        <c:v>7</c:v>
                      </c:pt>
                      <c:pt idx="36">
                        <c:v>10</c:v>
                      </c:pt>
                      <c:pt idx="37">
                        <c:v>11</c:v>
                      </c:pt>
                      <c:pt idx="38">
                        <c:v>9</c:v>
                      </c:pt>
                      <c:pt idx="39">
                        <c:v>10</c:v>
                      </c:pt>
                      <c:pt idx="40">
                        <c:v>11</c:v>
                      </c:pt>
                      <c:pt idx="41">
                        <c:v>9</c:v>
                      </c:pt>
                      <c:pt idx="42">
                        <c:v>14</c:v>
                      </c:pt>
                      <c:pt idx="43">
                        <c:v>11</c:v>
                      </c:pt>
                      <c:pt idx="44">
                        <c:v>17</c:v>
                      </c:pt>
                      <c:pt idx="45">
                        <c:v>19</c:v>
                      </c:pt>
                      <c:pt idx="46">
                        <c:v>16</c:v>
                      </c:pt>
                      <c:pt idx="47">
                        <c:v>16</c:v>
                      </c:pt>
                      <c:pt idx="48">
                        <c:v>18</c:v>
                      </c:pt>
                      <c:pt idx="49">
                        <c:v>19</c:v>
                      </c:pt>
                      <c:pt idx="50">
                        <c:v>20</c:v>
                      </c:pt>
                      <c:pt idx="51">
                        <c:v>14</c:v>
                      </c:pt>
                    </c:numCache>
                  </c:numRef>
                </c:val>
                <c:smooth val="0"/>
                <c:extLst xmlns:c15="http://schemas.microsoft.com/office/drawing/2012/chart">
                  <c:ext xmlns:c16="http://schemas.microsoft.com/office/drawing/2014/chart" uri="{C3380CC4-5D6E-409C-BE32-E72D297353CC}">
                    <c16:uniqueId val="{00000006-7949-47A0-96E5-E23098C23890}"/>
                  </c:ext>
                </c:extLst>
              </c15:ser>
            </c15:filteredLineSeries>
            <c15:filteredLineSeries>
              <c15:ser>
                <c:idx val="6"/>
                <c:order val="6"/>
                <c:tx>
                  <c:strRef>
                    <c:extLst xmlns:c15="http://schemas.microsoft.com/office/drawing/2012/chart">
                      <c:ext xmlns:c15="http://schemas.microsoft.com/office/drawing/2012/chart" uri="{02D57815-91ED-43cb-92C2-25804820EDAC}">
                        <c15:formulaRef>
                          <c15:sqref>Sheet1!$H$15</c15:sqref>
                        </c15:formulaRef>
                      </c:ext>
                    </c:extLst>
                    <c:strCache>
                      <c:ptCount val="1"/>
                      <c:pt idx="0">
                        <c:v>Black</c:v>
                      </c:pt>
                    </c:strCache>
                  </c:strRef>
                </c:tx>
                <c:spPr>
                  <a:ln w="28575" cap="rnd">
                    <a:solidFill>
                      <a:schemeClr val="accent1">
                        <a:lumMod val="6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Sheet1!$A$16:$A$163</c15:sqref>
                        </c15:formulaRef>
                      </c:ext>
                    </c:extLst>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xmlns:c15="http://schemas.microsoft.com/office/drawing/2012/chart">
                      <c:ext xmlns:c15="http://schemas.microsoft.com/office/drawing/2012/chart" uri="{02D57815-91ED-43cb-92C2-25804820EDAC}">
                        <c15:formulaRef>
                          <c15:sqref>Sheet1!$H$16:$H$67</c15:sqref>
                        </c15:formulaRef>
                      </c:ext>
                    </c:extLst>
                    <c:numCache>
                      <c:formatCode>General</c:formatCode>
                      <c:ptCount val="52"/>
                      <c:pt idx="0">
                        <c:v>2</c:v>
                      </c:pt>
                      <c:pt idx="1">
                        <c:v>6</c:v>
                      </c:pt>
                      <c:pt idx="2">
                        <c:v>0</c:v>
                      </c:pt>
                      <c:pt idx="3">
                        <c:v>1</c:v>
                      </c:pt>
                      <c:pt idx="4">
                        <c:v>2</c:v>
                      </c:pt>
                      <c:pt idx="5">
                        <c:v>4</c:v>
                      </c:pt>
                      <c:pt idx="6">
                        <c:v>4</c:v>
                      </c:pt>
                      <c:pt idx="7">
                        <c:v>1</c:v>
                      </c:pt>
                      <c:pt idx="8">
                        <c:v>6</c:v>
                      </c:pt>
                      <c:pt idx="9">
                        <c:v>5</c:v>
                      </c:pt>
                      <c:pt idx="10">
                        <c:v>7</c:v>
                      </c:pt>
                      <c:pt idx="11">
                        <c:v>9</c:v>
                      </c:pt>
                      <c:pt idx="12">
                        <c:v>5</c:v>
                      </c:pt>
                      <c:pt idx="13">
                        <c:v>7</c:v>
                      </c:pt>
                      <c:pt idx="14">
                        <c:v>3</c:v>
                      </c:pt>
                      <c:pt idx="15">
                        <c:v>7</c:v>
                      </c:pt>
                      <c:pt idx="16">
                        <c:v>6</c:v>
                      </c:pt>
                      <c:pt idx="17">
                        <c:v>2</c:v>
                      </c:pt>
                      <c:pt idx="18">
                        <c:v>4</c:v>
                      </c:pt>
                      <c:pt idx="19">
                        <c:v>3</c:v>
                      </c:pt>
                      <c:pt idx="20">
                        <c:v>0</c:v>
                      </c:pt>
                      <c:pt idx="21">
                        <c:v>2</c:v>
                      </c:pt>
                      <c:pt idx="22">
                        <c:v>1</c:v>
                      </c:pt>
                      <c:pt idx="23">
                        <c:v>2</c:v>
                      </c:pt>
                      <c:pt idx="24">
                        <c:v>1</c:v>
                      </c:pt>
                      <c:pt idx="25">
                        <c:v>3</c:v>
                      </c:pt>
                      <c:pt idx="26">
                        <c:v>1</c:v>
                      </c:pt>
                      <c:pt idx="27">
                        <c:v>2</c:v>
                      </c:pt>
                      <c:pt idx="28">
                        <c:v>3</c:v>
                      </c:pt>
                      <c:pt idx="29">
                        <c:v>1</c:v>
                      </c:pt>
                      <c:pt idx="30">
                        <c:v>0</c:v>
                      </c:pt>
                      <c:pt idx="31">
                        <c:v>2</c:v>
                      </c:pt>
                      <c:pt idx="32">
                        <c:v>1</c:v>
                      </c:pt>
                      <c:pt idx="33">
                        <c:v>1</c:v>
                      </c:pt>
                      <c:pt idx="34">
                        <c:v>0</c:v>
                      </c:pt>
                      <c:pt idx="35">
                        <c:v>1</c:v>
                      </c:pt>
                      <c:pt idx="36">
                        <c:v>0</c:v>
                      </c:pt>
                      <c:pt idx="37">
                        <c:v>1</c:v>
                      </c:pt>
                      <c:pt idx="38">
                        <c:v>1</c:v>
                      </c:pt>
                      <c:pt idx="39">
                        <c:v>1</c:v>
                      </c:pt>
                      <c:pt idx="40">
                        <c:v>2</c:v>
                      </c:pt>
                      <c:pt idx="41">
                        <c:v>3</c:v>
                      </c:pt>
                      <c:pt idx="42">
                        <c:v>2</c:v>
                      </c:pt>
                      <c:pt idx="43">
                        <c:v>3</c:v>
                      </c:pt>
                      <c:pt idx="44">
                        <c:v>0</c:v>
                      </c:pt>
                      <c:pt idx="45">
                        <c:v>0</c:v>
                      </c:pt>
                      <c:pt idx="46">
                        <c:v>0</c:v>
                      </c:pt>
                      <c:pt idx="47">
                        <c:v>1</c:v>
                      </c:pt>
                      <c:pt idx="48">
                        <c:v>2</c:v>
                      </c:pt>
                      <c:pt idx="49">
                        <c:v>5</c:v>
                      </c:pt>
                      <c:pt idx="50">
                        <c:v>2</c:v>
                      </c:pt>
                      <c:pt idx="51">
                        <c:v>4</c:v>
                      </c:pt>
                    </c:numCache>
                  </c:numRef>
                </c:val>
                <c:smooth val="0"/>
                <c:extLst xmlns:c15="http://schemas.microsoft.com/office/drawing/2012/chart">
                  <c:ext xmlns:c16="http://schemas.microsoft.com/office/drawing/2014/chart" uri="{C3380CC4-5D6E-409C-BE32-E72D297353CC}">
                    <c16:uniqueId val="{00000007-7949-47A0-96E5-E23098C23890}"/>
                  </c:ext>
                </c:extLst>
              </c15:ser>
            </c15:filteredLineSeries>
            <c15:filteredLineSeries>
              <c15:ser>
                <c:idx val="8"/>
                <c:order val="8"/>
                <c:tx>
                  <c:strRef>
                    <c:extLst xmlns:c15="http://schemas.microsoft.com/office/drawing/2012/chart">
                      <c:ext xmlns:c15="http://schemas.microsoft.com/office/drawing/2012/chart" uri="{02D57815-91ED-43cb-92C2-25804820EDAC}">
                        <c15:formulaRef>
                          <c15:sqref>Sheet1!#REF!</c15:sqref>
                        </c15:formulaRef>
                      </c:ext>
                    </c:extLst>
                    <c:strCache>
                      <c:ptCount val="1"/>
                      <c:pt idx="0">
                        <c:v>#REF!</c:v>
                      </c:pt>
                    </c:strCache>
                  </c:strRef>
                </c:tx>
                <c:spPr>
                  <a:ln w="28575" cap="rnd">
                    <a:solidFill>
                      <a:schemeClr val="accent3">
                        <a:lumMod val="6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Sheet1!$A$16:$A$163</c15:sqref>
                        </c15:formulaRef>
                      </c:ext>
                    </c:extLst>
                    <c:numCache>
                      <c:formatCode>dd/mm/yyyy;@</c:formatCode>
                      <c:ptCount val="148"/>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xmlns:c15="http://schemas.microsoft.com/office/drawing/2012/chart">
                      <c:ext xmlns:c15="http://schemas.microsoft.com/office/drawing/2012/chart" uri="{02D57815-91ED-43cb-92C2-25804820EDAC}">
                        <c15:formulaRef>
                          <c15:sqref>Sheet1!$K$16:$K$67</c15:sqref>
                        </c15:formulaRef>
                      </c:ext>
                    </c:extLst>
                    <c:numCache>
                      <c:formatCode>0.00%</c:formatCode>
                      <c:ptCount val="52"/>
                      <c:pt idx="0">
                        <c:v>0.87379999999999991</c:v>
                      </c:pt>
                      <c:pt idx="1">
                        <c:v>0.84920000000000007</c:v>
                      </c:pt>
                      <c:pt idx="2">
                        <c:v>0.84209999999999996</c:v>
                      </c:pt>
                      <c:pt idx="3">
                        <c:v>0.63889999999999991</c:v>
                      </c:pt>
                      <c:pt idx="4">
                        <c:v>0.80769999999999997</c:v>
                      </c:pt>
                      <c:pt idx="5">
                        <c:v>0.7984</c:v>
                      </c:pt>
                      <c:pt idx="6">
                        <c:v>0.83469999999999989</c:v>
                      </c:pt>
                      <c:pt idx="7">
                        <c:v>0.79179999999999995</c:v>
                      </c:pt>
                      <c:pt idx="8">
                        <c:v>0.82639999999999991</c:v>
                      </c:pt>
                      <c:pt idx="9">
                        <c:v>0.85470000000000002</c:v>
                      </c:pt>
                      <c:pt idx="10">
                        <c:v>0.86799999999999988</c:v>
                      </c:pt>
                      <c:pt idx="11">
                        <c:v>0.86990000000000012</c:v>
                      </c:pt>
                      <c:pt idx="12">
                        <c:v>0.82939999999999992</c:v>
                      </c:pt>
                      <c:pt idx="13">
                        <c:v>0.8640000000000001</c:v>
                      </c:pt>
                      <c:pt idx="14">
                        <c:v>0.87180000000000002</c:v>
                      </c:pt>
                      <c:pt idx="15">
                        <c:v>0.87309999999999999</c:v>
                      </c:pt>
                      <c:pt idx="16">
                        <c:v>0.91999999999999993</c:v>
                      </c:pt>
                      <c:pt idx="17">
                        <c:v>0.91149999999999998</c:v>
                      </c:pt>
                      <c:pt idx="18">
                        <c:v>0.78049999999999997</c:v>
                      </c:pt>
                      <c:pt idx="19">
                        <c:v>0.8145</c:v>
                      </c:pt>
                      <c:pt idx="20">
                        <c:v>0.81890000000000007</c:v>
                      </c:pt>
                      <c:pt idx="21">
                        <c:v>0.78689999999999993</c:v>
                      </c:pt>
                      <c:pt idx="22">
                        <c:v>0.7984</c:v>
                      </c:pt>
                      <c:pt idx="23">
                        <c:v>0.81200000000000006</c:v>
                      </c:pt>
                      <c:pt idx="24">
                        <c:v>0.78070000000000006</c:v>
                      </c:pt>
                      <c:pt idx="25">
                        <c:v>0.7710999999999999</c:v>
                      </c:pt>
                      <c:pt idx="26">
                        <c:v>0.78149999999999997</c:v>
                      </c:pt>
                      <c:pt idx="27">
                        <c:v>0.76919999999999999</c:v>
                      </c:pt>
                      <c:pt idx="28">
                        <c:v>0.77500000000000002</c:v>
                      </c:pt>
                      <c:pt idx="29">
                        <c:v>0.79779999999999995</c:v>
                      </c:pt>
                      <c:pt idx="30">
                        <c:v>0.7288</c:v>
                      </c:pt>
                      <c:pt idx="31">
                        <c:v>0.70089999999999997</c:v>
                      </c:pt>
                      <c:pt idx="32">
                        <c:v>0.72729999999999995</c:v>
                      </c:pt>
                      <c:pt idx="33">
                        <c:v>0.7226999999999999</c:v>
                      </c:pt>
                      <c:pt idx="34">
                        <c:v>0.65090000000000003</c:v>
                      </c:pt>
                      <c:pt idx="35">
                        <c:v>0.66659999999999997</c:v>
                      </c:pt>
                      <c:pt idx="36">
                        <c:v>0.6754</c:v>
                      </c:pt>
                      <c:pt idx="37">
                        <c:v>0.69089999999999996</c:v>
                      </c:pt>
                      <c:pt idx="38">
                        <c:v>0.66020000000000012</c:v>
                      </c:pt>
                      <c:pt idx="39">
                        <c:v>0.71</c:v>
                      </c:pt>
                      <c:pt idx="40">
                        <c:v>0.6875</c:v>
                      </c:pt>
                      <c:pt idx="41">
                        <c:v>0.66669999999999996</c:v>
                      </c:pt>
                      <c:pt idx="42">
                        <c:v>0.73830000000000007</c:v>
                      </c:pt>
                      <c:pt idx="43">
                        <c:v>0.79479999999999984</c:v>
                      </c:pt>
                      <c:pt idx="44">
                        <c:v>0.7732</c:v>
                      </c:pt>
                      <c:pt idx="45">
                        <c:v>0.77680000000000005</c:v>
                      </c:pt>
                      <c:pt idx="46">
                        <c:v>0.74420000000000008</c:v>
                      </c:pt>
                      <c:pt idx="47">
                        <c:v>0.7984</c:v>
                      </c:pt>
                      <c:pt idx="48">
                        <c:v>0.82500000000000007</c:v>
                      </c:pt>
                      <c:pt idx="49">
                        <c:v>0.81810000000000005</c:v>
                      </c:pt>
                      <c:pt idx="50">
                        <c:v>0.81979999999999997</c:v>
                      </c:pt>
                      <c:pt idx="51">
                        <c:v>0.79830000000000012</c:v>
                      </c:pt>
                    </c:numCache>
                  </c:numRef>
                </c:val>
                <c:smooth val="0"/>
                <c:extLst xmlns:c15="http://schemas.microsoft.com/office/drawing/2012/chart">
                  <c:ext xmlns:c16="http://schemas.microsoft.com/office/drawing/2014/chart" uri="{C3380CC4-5D6E-409C-BE32-E72D297353CC}">
                    <c16:uniqueId val="{00000008-7949-47A0-96E5-E23098C23890}"/>
                  </c:ext>
                </c:extLst>
              </c15:ser>
            </c15:filteredLineSeries>
          </c:ext>
        </c:extLst>
      </c:lineChart>
      <c:dateAx>
        <c:axId val="1059889295"/>
        <c:scaling>
          <c:orientation val="minMax"/>
          <c:max val="46181"/>
        </c:scaling>
        <c:delete val="0"/>
        <c:axPos val="b"/>
        <c:numFmt formatCode="dd/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9946591"/>
        <c:crosses val="autoZero"/>
        <c:auto val="0"/>
        <c:lblOffset val="100"/>
        <c:baseTimeUnit val="days"/>
        <c:majorUnit val="1"/>
        <c:majorTimeUnit val="months"/>
      </c:dateAx>
      <c:valAx>
        <c:axId val="1229946591"/>
        <c:scaling>
          <c:orientation val="minMax"/>
        </c:scaling>
        <c:delete val="0"/>
        <c:axPos val="l"/>
        <c:majorGridlines>
          <c:spPr>
            <a:ln w="9525" cap="flat" cmpd="sng" algn="ctr">
              <a:no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98892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LMC GP Practice</a:t>
            </a:r>
            <a:r>
              <a:rPr lang="en-GB" baseline="0"/>
              <a:t> Situation Survey-Green &amp; Negative Responses </a:t>
            </a:r>
            <a:endParaRPr lang="en-GB"/>
          </a:p>
        </c:rich>
      </c:tx>
      <c:layout>
        <c:manualLayout>
          <c:xMode val="edge"/>
          <c:yMode val="edge"/>
          <c:x val="0.40378986150269019"/>
          <c:y val="2.363367432610686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1"/>
          <c:tx>
            <c:strRef>
              <c:f>Sheet1!$C$15</c:f>
              <c:strCache>
                <c:ptCount val="1"/>
                <c:pt idx="0">
                  <c:v>Green %</c:v>
                </c:pt>
              </c:strCache>
            </c:strRef>
          </c:tx>
          <c:spPr>
            <a:ln w="28575" cap="rnd">
              <a:solidFill>
                <a:srgbClr val="00B050"/>
              </a:solidFill>
              <a:round/>
            </a:ln>
            <a:effectLst/>
          </c:spPr>
          <c:marker>
            <c:symbol val="none"/>
          </c:marker>
          <c:cat>
            <c:numRef>
              <c:f>Sheet1!$A$16:$A$176</c:f>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f>Sheet1!$C$16:$C$163</c:f>
              <c:numCache>
                <c:formatCode>0.00%</c:formatCode>
                <c:ptCount val="148"/>
                <c:pt idx="0">
                  <c:v>0.12609999999999999</c:v>
                </c:pt>
                <c:pt idx="1">
                  <c:v>0.15079999999999999</c:v>
                </c:pt>
                <c:pt idx="2">
                  <c:v>0.15790000000000001</c:v>
                </c:pt>
                <c:pt idx="3">
                  <c:v>0.36109999999999998</c:v>
                </c:pt>
                <c:pt idx="4">
                  <c:v>0.1923</c:v>
                </c:pt>
                <c:pt idx="5">
                  <c:v>0.2016</c:v>
                </c:pt>
                <c:pt idx="6">
                  <c:v>0.16539999999999999</c:v>
                </c:pt>
                <c:pt idx="7">
                  <c:v>0.17829999999999999</c:v>
                </c:pt>
                <c:pt idx="8">
                  <c:v>0.1736</c:v>
                </c:pt>
                <c:pt idx="9">
                  <c:v>0.14530000000000001</c:v>
                </c:pt>
                <c:pt idx="10">
                  <c:v>0.13189999999999999</c:v>
                </c:pt>
                <c:pt idx="11">
                  <c:v>0.13009999999999999</c:v>
                </c:pt>
                <c:pt idx="12">
                  <c:v>0.17069999999999999</c:v>
                </c:pt>
                <c:pt idx="13">
                  <c:v>0.13600000000000001</c:v>
                </c:pt>
                <c:pt idx="14">
                  <c:v>0.12820000000000001</c:v>
                </c:pt>
                <c:pt idx="15">
                  <c:v>0.127</c:v>
                </c:pt>
                <c:pt idx="16">
                  <c:v>0.08</c:v>
                </c:pt>
                <c:pt idx="17">
                  <c:v>8.8499999999999995E-2</c:v>
                </c:pt>
                <c:pt idx="18">
                  <c:v>0.2195</c:v>
                </c:pt>
                <c:pt idx="19">
                  <c:v>0.1855</c:v>
                </c:pt>
                <c:pt idx="20">
                  <c:v>0.18110000000000001</c:v>
                </c:pt>
                <c:pt idx="21">
                  <c:v>0.21310000000000001</c:v>
                </c:pt>
                <c:pt idx="22">
                  <c:v>0.2016</c:v>
                </c:pt>
                <c:pt idx="23">
                  <c:v>0.188</c:v>
                </c:pt>
                <c:pt idx="24">
                  <c:v>0.21929999999999999</c:v>
                </c:pt>
                <c:pt idx="25">
                  <c:v>0.2288</c:v>
                </c:pt>
                <c:pt idx="26">
                  <c:v>0.2185</c:v>
                </c:pt>
                <c:pt idx="27">
                  <c:v>0.23080000000000001</c:v>
                </c:pt>
                <c:pt idx="28">
                  <c:v>0.22500000000000001</c:v>
                </c:pt>
                <c:pt idx="29">
                  <c:v>0.19670000000000001</c:v>
                </c:pt>
                <c:pt idx="30">
                  <c:v>0.2712</c:v>
                </c:pt>
                <c:pt idx="31">
                  <c:v>0.29909999999999998</c:v>
                </c:pt>
                <c:pt idx="32">
                  <c:v>0.2727</c:v>
                </c:pt>
                <c:pt idx="33">
                  <c:v>0.27729999999999999</c:v>
                </c:pt>
                <c:pt idx="34">
                  <c:v>0.34910000000000002</c:v>
                </c:pt>
                <c:pt idx="35">
                  <c:v>0.33329999999999999</c:v>
                </c:pt>
                <c:pt idx="36">
                  <c:v>0.3246</c:v>
                </c:pt>
                <c:pt idx="37">
                  <c:v>0.30909999999999999</c:v>
                </c:pt>
                <c:pt idx="38">
                  <c:v>0.33979999999999999</c:v>
                </c:pt>
                <c:pt idx="39">
                  <c:v>0.28999999999999998</c:v>
                </c:pt>
                <c:pt idx="40">
                  <c:v>0.31253999999999998</c:v>
                </c:pt>
                <c:pt idx="41">
                  <c:v>0.33329999999999999</c:v>
                </c:pt>
                <c:pt idx="42">
                  <c:v>0.26169999999999999</c:v>
                </c:pt>
                <c:pt idx="43">
                  <c:v>0.2051</c:v>
                </c:pt>
                <c:pt idx="44">
                  <c:v>0.22689999999999999</c:v>
                </c:pt>
                <c:pt idx="45">
                  <c:v>0.22309999999999999</c:v>
                </c:pt>
                <c:pt idx="46">
                  <c:v>0.25580000000000003</c:v>
                </c:pt>
                <c:pt idx="47">
                  <c:v>0.2016</c:v>
                </c:pt>
                <c:pt idx="48">
                  <c:v>0.17499999999999999</c:v>
                </c:pt>
                <c:pt idx="49">
                  <c:v>0.18179999999999999</c:v>
                </c:pt>
                <c:pt idx="50">
                  <c:v>0.1802</c:v>
                </c:pt>
                <c:pt idx="51">
                  <c:v>0.20180000000000001</c:v>
                </c:pt>
                <c:pt idx="52">
                  <c:v>0.14810000000000001</c:v>
                </c:pt>
                <c:pt idx="53">
                  <c:v>0.2059</c:v>
                </c:pt>
                <c:pt idx="54">
                  <c:v>0.19089999999999999</c:v>
                </c:pt>
                <c:pt idx="55">
                  <c:v>0.20449999999999999</c:v>
                </c:pt>
                <c:pt idx="56">
                  <c:v>0.2432</c:v>
                </c:pt>
                <c:pt idx="57">
                  <c:v>0.19489999999999999</c:v>
                </c:pt>
                <c:pt idx="58">
                  <c:v>0.2137</c:v>
                </c:pt>
                <c:pt idx="59">
                  <c:v>0.2</c:v>
                </c:pt>
                <c:pt idx="60">
                  <c:v>0.2586</c:v>
                </c:pt>
                <c:pt idx="61">
                  <c:v>0.24110000000000001</c:v>
                </c:pt>
                <c:pt idx="62">
                  <c:v>0.21360000000000001</c:v>
                </c:pt>
                <c:pt idx="63">
                  <c:v>0.19420000000000001</c:v>
                </c:pt>
                <c:pt idx="64">
                  <c:v>0.19439999999999999</c:v>
                </c:pt>
                <c:pt idx="65">
                  <c:v>0.25219999999999998</c:v>
                </c:pt>
                <c:pt idx="66">
                  <c:v>0.1961</c:v>
                </c:pt>
                <c:pt idx="67">
                  <c:v>0.2087</c:v>
                </c:pt>
                <c:pt idx="68">
                  <c:v>0.23710000000000001</c:v>
                </c:pt>
                <c:pt idx="69">
                  <c:v>0.27179999999999999</c:v>
                </c:pt>
                <c:pt idx="70">
                  <c:v>0.29809999999999998</c:v>
                </c:pt>
                <c:pt idx="71">
                  <c:v>0.27450000000000002</c:v>
                </c:pt>
                <c:pt idx="72">
                  <c:v>0.1237</c:v>
                </c:pt>
                <c:pt idx="73">
                  <c:v>0.1845</c:v>
                </c:pt>
                <c:pt idx="74">
                  <c:v>0.23280000000000001</c:v>
                </c:pt>
                <c:pt idx="75">
                  <c:v>0.33329999999999999</c:v>
                </c:pt>
                <c:pt idx="76">
                  <c:v>0.22550000000000001</c:v>
                </c:pt>
                <c:pt idx="77">
                  <c:v>0.17430000000000001</c:v>
                </c:pt>
                <c:pt idx="78">
                  <c:v>0.21360000000000001</c:v>
                </c:pt>
                <c:pt idx="79">
                  <c:v>0.26469999999999999</c:v>
                </c:pt>
                <c:pt idx="80">
                  <c:v>0.29699999999999999</c:v>
                </c:pt>
                <c:pt idx="81">
                  <c:v>0.2762</c:v>
                </c:pt>
                <c:pt idx="82">
                  <c:v>0.25230000000000002</c:v>
                </c:pt>
                <c:pt idx="83">
                  <c:v>0.34910000000000002</c:v>
                </c:pt>
                <c:pt idx="84">
                  <c:v>0.2571</c:v>
                </c:pt>
                <c:pt idx="85">
                  <c:v>0.22</c:v>
                </c:pt>
                <c:pt idx="86">
                  <c:v>0.2626</c:v>
                </c:pt>
                <c:pt idx="87">
                  <c:v>0.31309999999999999</c:v>
                </c:pt>
                <c:pt idx="88">
                  <c:v>0.25490000000000002</c:v>
                </c:pt>
                <c:pt idx="89">
                  <c:v>0.31309999999999999</c:v>
                </c:pt>
                <c:pt idx="90">
                  <c:v>0.34</c:v>
                </c:pt>
                <c:pt idx="91">
                  <c:v>0.28710000000000002</c:v>
                </c:pt>
                <c:pt idx="92">
                  <c:v>0.25769999999999998</c:v>
                </c:pt>
                <c:pt idx="93">
                  <c:v>0.14410000000000001</c:v>
                </c:pt>
                <c:pt idx="94">
                  <c:v>0.18559999999999999</c:v>
                </c:pt>
                <c:pt idx="95">
                  <c:v>0.23080000000000001</c:v>
                </c:pt>
                <c:pt idx="96">
                  <c:v>0.25</c:v>
                </c:pt>
                <c:pt idx="97">
                  <c:v>0.32040000000000002</c:v>
                </c:pt>
                <c:pt idx="98">
                  <c:v>0.1963</c:v>
                </c:pt>
                <c:pt idx="99">
                  <c:v>0.22520000000000001</c:v>
                </c:pt>
                <c:pt idx="100">
                  <c:v>0.16070000000000001</c:v>
                </c:pt>
                <c:pt idx="101">
                  <c:v>0.14410000000000001</c:v>
                </c:pt>
                <c:pt idx="102">
                  <c:v>0.16669999999999999</c:v>
                </c:pt>
                <c:pt idx="103">
                  <c:v>0.15090000000000001</c:v>
                </c:pt>
                <c:pt idx="104">
                  <c:v>0.1842</c:v>
                </c:pt>
                <c:pt idx="105">
                  <c:v>0.1875</c:v>
                </c:pt>
                <c:pt idx="106">
                  <c:v>0.16819999999999999</c:v>
                </c:pt>
                <c:pt idx="107">
                  <c:v>0.23380000000000001</c:v>
                </c:pt>
                <c:pt idx="108">
                  <c:v>0.3579</c:v>
                </c:pt>
                <c:pt idx="109">
                  <c:v>0.25</c:v>
                </c:pt>
                <c:pt idx="110">
                  <c:v>0.21779999999999999</c:v>
                </c:pt>
                <c:pt idx="111">
                  <c:v>0.26129999999999998</c:v>
                </c:pt>
                <c:pt idx="112">
                  <c:v>0.26169999999999999</c:v>
                </c:pt>
                <c:pt idx="113">
                  <c:v>0.1981</c:v>
                </c:pt>
                <c:pt idx="114">
                  <c:v>0.2</c:v>
                </c:pt>
                <c:pt idx="115">
                  <c:v>0.22220000000000001</c:v>
                </c:pt>
                <c:pt idx="116">
                  <c:v>0.2054</c:v>
                </c:pt>
                <c:pt idx="117">
                  <c:v>0.2</c:v>
                </c:pt>
                <c:pt idx="118">
                  <c:v>0.2286</c:v>
                </c:pt>
                <c:pt idx="119">
                  <c:v>0.2135</c:v>
                </c:pt>
                <c:pt idx="120">
                  <c:v>0.2475</c:v>
                </c:pt>
                <c:pt idx="121">
                  <c:v>0.18559999999999999</c:v>
                </c:pt>
                <c:pt idx="122">
                  <c:v>0.1414</c:v>
                </c:pt>
                <c:pt idx="123">
                  <c:v>0.18099999999999999</c:v>
                </c:pt>
                <c:pt idx="124">
                  <c:v>0.24529999999999999</c:v>
                </c:pt>
                <c:pt idx="125">
                  <c:v>0.25840000000000002</c:v>
                </c:pt>
                <c:pt idx="126">
                  <c:v>0.2079</c:v>
                </c:pt>
                <c:pt idx="127">
                  <c:v>0.2165</c:v>
                </c:pt>
                <c:pt idx="128">
                  <c:v>0.1951</c:v>
                </c:pt>
                <c:pt idx="129">
                  <c:v>0.25840000000000002</c:v>
                </c:pt>
                <c:pt idx="130">
                  <c:v>0.21879999999999999</c:v>
                </c:pt>
                <c:pt idx="131">
                  <c:v>0.21429999999999999</c:v>
                </c:pt>
              </c:numCache>
            </c:numRef>
          </c:val>
          <c:smooth val="0"/>
          <c:extLst>
            <c:ext xmlns:c16="http://schemas.microsoft.com/office/drawing/2014/chart" uri="{C3380CC4-5D6E-409C-BE32-E72D297353CC}">
              <c16:uniqueId val="{00000000-D034-4038-8EC8-010C123EF3FB}"/>
            </c:ext>
          </c:extLst>
        </c:ser>
        <c:ser>
          <c:idx val="8"/>
          <c:order val="8"/>
          <c:tx>
            <c:strRef>
              <c:f>Sheet1!$K$15</c:f>
              <c:strCache>
                <c:ptCount val="1"/>
                <c:pt idx="0">
                  <c:v>Amber, Red and Black %</c:v>
                </c:pt>
              </c:strCache>
            </c:strRef>
          </c:tx>
          <c:spPr>
            <a:ln w="28575" cap="rnd">
              <a:solidFill>
                <a:schemeClr val="tx2"/>
              </a:solidFill>
              <a:round/>
            </a:ln>
            <a:effectLst/>
          </c:spPr>
          <c:marker>
            <c:symbol val="none"/>
          </c:marker>
          <c:cat>
            <c:numRef>
              <c:f>Sheet1!$A$16:$A$176</c:f>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f>Sheet1!$K$16:$K$147</c:f>
              <c:numCache>
                <c:formatCode>0.00%</c:formatCode>
                <c:ptCount val="132"/>
                <c:pt idx="0">
                  <c:v>0.87379999999999991</c:v>
                </c:pt>
                <c:pt idx="1">
                  <c:v>0.84920000000000007</c:v>
                </c:pt>
                <c:pt idx="2">
                  <c:v>0.84209999999999996</c:v>
                </c:pt>
                <c:pt idx="3">
                  <c:v>0.63889999999999991</c:v>
                </c:pt>
                <c:pt idx="4">
                  <c:v>0.80769999999999997</c:v>
                </c:pt>
                <c:pt idx="5">
                  <c:v>0.7984</c:v>
                </c:pt>
                <c:pt idx="6">
                  <c:v>0.83469999999999989</c:v>
                </c:pt>
                <c:pt idx="7">
                  <c:v>0.79179999999999995</c:v>
                </c:pt>
                <c:pt idx="8">
                  <c:v>0.82639999999999991</c:v>
                </c:pt>
                <c:pt idx="9">
                  <c:v>0.85470000000000002</c:v>
                </c:pt>
                <c:pt idx="10">
                  <c:v>0.86799999999999988</c:v>
                </c:pt>
                <c:pt idx="11">
                  <c:v>0.86990000000000012</c:v>
                </c:pt>
                <c:pt idx="12">
                  <c:v>0.82939999999999992</c:v>
                </c:pt>
                <c:pt idx="13">
                  <c:v>0.8640000000000001</c:v>
                </c:pt>
                <c:pt idx="14">
                  <c:v>0.87180000000000002</c:v>
                </c:pt>
                <c:pt idx="15">
                  <c:v>0.87309999999999999</c:v>
                </c:pt>
                <c:pt idx="16">
                  <c:v>0.91999999999999993</c:v>
                </c:pt>
                <c:pt idx="17">
                  <c:v>0.91149999999999998</c:v>
                </c:pt>
                <c:pt idx="18">
                  <c:v>0.78049999999999997</c:v>
                </c:pt>
                <c:pt idx="19">
                  <c:v>0.8145</c:v>
                </c:pt>
                <c:pt idx="20">
                  <c:v>0.81890000000000007</c:v>
                </c:pt>
                <c:pt idx="21">
                  <c:v>0.78689999999999993</c:v>
                </c:pt>
                <c:pt idx="22">
                  <c:v>0.7984</c:v>
                </c:pt>
                <c:pt idx="23">
                  <c:v>0.81200000000000006</c:v>
                </c:pt>
                <c:pt idx="24">
                  <c:v>0.78070000000000006</c:v>
                </c:pt>
                <c:pt idx="25">
                  <c:v>0.7710999999999999</c:v>
                </c:pt>
                <c:pt idx="26">
                  <c:v>0.78149999999999997</c:v>
                </c:pt>
                <c:pt idx="27">
                  <c:v>0.76919999999999999</c:v>
                </c:pt>
                <c:pt idx="28">
                  <c:v>0.77500000000000002</c:v>
                </c:pt>
                <c:pt idx="29">
                  <c:v>0.79779999999999995</c:v>
                </c:pt>
                <c:pt idx="30">
                  <c:v>0.7288</c:v>
                </c:pt>
                <c:pt idx="31">
                  <c:v>0.70089999999999997</c:v>
                </c:pt>
                <c:pt idx="32">
                  <c:v>0.72729999999999995</c:v>
                </c:pt>
                <c:pt idx="33">
                  <c:v>0.7226999999999999</c:v>
                </c:pt>
                <c:pt idx="34">
                  <c:v>0.65090000000000003</c:v>
                </c:pt>
                <c:pt idx="35">
                  <c:v>0.66659999999999997</c:v>
                </c:pt>
                <c:pt idx="36">
                  <c:v>0.6754</c:v>
                </c:pt>
                <c:pt idx="37">
                  <c:v>0.69089999999999996</c:v>
                </c:pt>
                <c:pt idx="38">
                  <c:v>0.66020000000000012</c:v>
                </c:pt>
                <c:pt idx="39">
                  <c:v>0.71</c:v>
                </c:pt>
                <c:pt idx="40">
                  <c:v>0.6875</c:v>
                </c:pt>
                <c:pt idx="41">
                  <c:v>0.66669999999999996</c:v>
                </c:pt>
                <c:pt idx="42">
                  <c:v>0.73830000000000007</c:v>
                </c:pt>
                <c:pt idx="43">
                  <c:v>0.79479999999999984</c:v>
                </c:pt>
                <c:pt idx="44">
                  <c:v>0.7732</c:v>
                </c:pt>
                <c:pt idx="45">
                  <c:v>0.77680000000000005</c:v>
                </c:pt>
                <c:pt idx="46">
                  <c:v>0.74420000000000008</c:v>
                </c:pt>
                <c:pt idx="47">
                  <c:v>0.7984</c:v>
                </c:pt>
                <c:pt idx="48">
                  <c:v>0.82500000000000007</c:v>
                </c:pt>
                <c:pt idx="49">
                  <c:v>0.81810000000000005</c:v>
                </c:pt>
                <c:pt idx="50">
                  <c:v>0.81979999999999997</c:v>
                </c:pt>
                <c:pt idx="51">
                  <c:v>0.79830000000000012</c:v>
                </c:pt>
                <c:pt idx="52">
                  <c:v>0.8518</c:v>
                </c:pt>
                <c:pt idx="53">
                  <c:v>0.79419999999999991</c:v>
                </c:pt>
                <c:pt idx="54">
                  <c:v>0.80899999999999994</c:v>
                </c:pt>
                <c:pt idx="55">
                  <c:v>0.79549999999999998</c:v>
                </c:pt>
                <c:pt idx="56">
                  <c:v>0.75670000000000004</c:v>
                </c:pt>
                <c:pt idx="57">
                  <c:v>0.80509999999999993</c:v>
                </c:pt>
                <c:pt idx="58">
                  <c:v>0.78629999999999989</c:v>
                </c:pt>
                <c:pt idx="59">
                  <c:v>0.79999999999999993</c:v>
                </c:pt>
                <c:pt idx="60">
                  <c:v>0.74139999999999995</c:v>
                </c:pt>
                <c:pt idx="61">
                  <c:v>0.75890000000000002</c:v>
                </c:pt>
                <c:pt idx="62">
                  <c:v>0.78649999999999998</c:v>
                </c:pt>
                <c:pt idx="63">
                  <c:v>0.80579999999999996</c:v>
                </c:pt>
                <c:pt idx="64">
                  <c:v>0.80559999999999987</c:v>
                </c:pt>
                <c:pt idx="65">
                  <c:v>0.74780000000000002</c:v>
                </c:pt>
                <c:pt idx="66">
                  <c:v>0.80399999999999983</c:v>
                </c:pt>
                <c:pt idx="67">
                  <c:v>0.7913</c:v>
                </c:pt>
                <c:pt idx="68">
                  <c:v>0.76279999999999992</c:v>
                </c:pt>
                <c:pt idx="69">
                  <c:v>0.72810000000000008</c:v>
                </c:pt>
                <c:pt idx="70">
                  <c:v>0.70190000000000008</c:v>
                </c:pt>
                <c:pt idx="71">
                  <c:v>0.72549999999999992</c:v>
                </c:pt>
                <c:pt idx="72">
                  <c:v>0.87629999999999997</c:v>
                </c:pt>
                <c:pt idx="73">
                  <c:v>0.81550000000000011</c:v>
                </c:pt>
                <c:pt idx="74">
                  <c:v>0.76719999999999999</c:v>
                </c:pt>
                <c:pt idx="75">
                  <c:v>0.66670000000000007</c:v>
                </c:pt>
                <c:pt idx="76">
                  <c:v>0.77450000000000008</c:v>
                </c:pt>
                <c:pt idx="77">
                  <c:v>0.82569999999999999</c:v>
                </c:pt>
                <c:pt idx="78">
                  <c:v>0.78639999999999999</c:v>
                </c:pt>
                <c:pt idx="79">
                  <c:v>0.73529999999999995</c:v>
                </c:pt>
                <c:pt idx="80">
                  <c:v>0.70299999999999996</c:v>
                </c:pt>
                <c:pt idx="81">
                  <c:v>0.7238</c:v>
                </c:pt>
                <c:pt idx="82">
                  <c:v>0.74770000000000003</c:v>
                </c:pt>
                <c:pt idx="83">
                  <c:v>0.65090000000000003</c:v>
                </c:pt>
                <c:pt idx="84">
                  <c:v>0.74280000000000002</c:v>
                </c:pt>
                <c:pt idx="85">
                  <c:v>0.78</c:v>
                </c:pt>
                <c:pt idx="86">
                  <c:v>0.73739999999999994</c:v>
                </c:pt>
                <c:pt idx="87">
                  <c:v>0.68679999999999997</c:v>
                </c:pt>
                <c:pt idx="88">
                  <c:v>0.745</c:v>
                </c:pt>
                <c:pt idx="89">
                  <c:v>0.68689999999999996</c:v>
                </c:pt>
                <c:pt idx="90">
                  <c:v>0.66</c:v>
                </c:pt>
                <c:pt idx="91">
                  <c:v>0.71290000000000009</c:v>
                </c:pt>
                <c:pt idx="92">
                  <c:v>0.74219999999999997</c:v>
                </c:pt>
                <c:pt idx="93">
                  <c:v>0.85580000000000012</c:v>
                </c:pt>
                <c:pt idx="94">
                  <c:v>0.81440000000000001</c:v>
                </c:pt>
                <c:pt idx="95">
                  <c:v>0.76919999999999999</c:v>
                </c:pt>
                <c:pt idx="96">
                  <c:v>0.75</c:v>
                </c:pt>
                <c:pt idx="97">
                  <c:v>0.67949999999999999</c:v>
                </c:pt>
                <c:pt idx="98">
                  <c:v>0.80379999999999996</c:v>
                </c:pt>
                <c:pt idx="99">
                  <c:v>0.77470000000000006</c:v>
                </c:pt>
                <c:pt idx="100">
                  <c:v>0.83930000000000005</c:v>
                </c:pt>
                <c:pt idx="101">
                  <c:v>0.85580000000000001</c:v>
                </c:pt>
                <c:pt idx="102">
                  <c:v>0.83340000000000003</c:v>
                </c:pt>
                <c:pt idx="103">
                  <c:v>0.84900000000000009</c:v>
                </c:pt>
                <c:pt idx="104">
                  <c:v>0.81580000000000008</c:v>
                </c:pt>
                <c:pt idx="105">
                  <c:v>0.81250000000000011</c:v>
                </c:pt>
                <c:pt idx="106">
                  <c:v>0.83179999999999998</c:v>
                </c:pt>
                <c:pt idx="107">
                  <c:v>0.71619999999999984</c:v>
                </c:pt>
                <c:pt idx="108">
                  <c:v>0.6421</c:v>
                </c:pt>
                <c:pt idx="109">
                  <c:v>0.75</c:v>
                </c:pt>
                <c:pt idx="110">
                  <c:v>0.78220000000000001</c:v>
                </c:pt>
                <c:pt idx="111">
                  <c:v>0.73870000000000002</c:v>
                </c:pt>
                <c:pt idx="112">
                  <c:v>0.73819999999999997</c:v>
                </c:pt>
                <c:pt idx="113">
                  <c:v>0.80179999999999996</c:v>
                </c:pt>
                <c:pt idx="114">
                  <c:v>0.8</c:v>
                </c:pt>
                <c:pt idx="115">
                  <c:v>0.77780000000000005</c:v>
                </c:pt>
                <c:pt idx="116">
                  <c:v>0.79470000000000007</c:v>
                </c:pt>
                <c:pt idx="117">
                  <c:v>0.79989999999999994</c:v>
                </c:pt>
                <c:pt idx="118">
                  <c:v>0.77139999999999997</c:v>
                </c:pt>
                <c:pt idx="119">
                  <c:v>0.78650000000000009</c:v>
                </c:pt>
                <c:pt idx="120">
                  <c:v>0.75249999999999995</c:v>
                </c:pt>
                <c:pt idx="121">
                  <c:v>0.81440000000000001</c:v>
                </c:pt>
                <c:pt idx="122">
                  <c:v>0.85860000000000003</c:v>
                </c:pt>
                <c:pt idx="123">
                  <c:v>0.81899999999999995</c:v>
                </c:pt>
                <c:pt idx="124">
                  <c:v>0.75470000000000004</c:v>
                </c:pt>
                <c:pt idx="125">
                  <c:v>0.74160000000000004</c:v>
                </c:pt>
                <c:pt idx="126">
                  <c:v>0.79210000000000003</c:v>
                </c:pt>
                <c:pt idx="127">
                  <c:v>0.78349999999999997</c:v>
                </c:pt>
                <c:pt idx="128">
                  <c:v>0.80489999999999995</c:v>
                </c:pt>
                <c:pt idx="129">
                  <c:v>0.74160000000000004</c:v>
                </c:pt>
                <c:pt idx="130">
                  <c:v>0.78129999999999999</c:v>
                </c:pt>
                <c:pt idx="131">
                  <c:v>0.78580000000000005</c:v>
                </c:pt>
              </c:numCache>
            </c:numRef>
          </c:val>
          <c:smooth val="0"/>
          <c:extLst>
            <c:ext xmlns:c16="http://schemas.microsoft.com/office/drawing/2014/chart" uri="{C3380CC4-5D6E-409C-BE32-E72D297353CC}">
              <c16:uniqueId val="{00000001-D034-4038-8EC8-010C123EF3FB}"/>
            </c:ext>
          </c:extLst>
        </c:ser>
        <c:ser>
          <c:idx val="9"/>
          <c:order val="9"/>
          <c:tx>
            <c:strRef>
              <c:f>Sheet1!#REF!</c:f>
              <c:strCache>
                <c:ptCount val="1"/>
                <c:pt idx="0">
                  <c:v>#REF!</c:v>
                </c:pt>
              </c:strCache>
              <c:extLst xmlns:c15="http://schemas.microsoft.com/office/drawing/2012/chart"/>
            </c:strRef>
          </c:tx>
          <c:spPr>
            <a:ln w="28575" cap="rnd">
              <a:solidFill>
                <a:schemeClr val="accent2">
                  <a:lumMod val="80000"/>
                </a:schemeClr>
              </a:solidFill>
              <a:round/>
            </a:ln>
            <a:effectLst/>
          </c:spPr>
          <c:marker>
            <c:symbol val="none"/>
          </c:marker>
          <c:cat>
            <c:numRef>
              <c:f>Sheet1!$A$16:$A$176</c:f>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f>Sheet1!#REF!</c:f>
              <c:numCache>
                <c:formatCode>General</c:formatCode>
                <c:ptCount val="1"/>
                <c:pt idx="0">
                  <c:v>1</c:v>
                </c:pt>
              </c:numCache>
              <c:extLst xmlns:c15="http://schemas.microsoft.com/office/drawing/2012/chart"/>
            </c:numRef>
          </c:val>
          <c:smooth val="0"/>
          <c:extLst xmlns:c15="http://schemas.microsoft.com/office/drawing/2012/chart">
            <c:ext xmlns:c16="http://schemas.microsoft.com/office/drawing/2014/chart" uri="{C3380CC4-5D6E-409C-BE32-E72D297353CC}">
              <c16:uniqueId val="{00000002-D034-4038-8EC8-010C123EF3FB}"/>
            </c:ext>
          </c:extLst>
        </c:ser>
        <c:dLbls>
          <c:showLegendKey val="0"/>
          <c:showVal val="0"/>
          <c:showCatName val="0"/>
          <c:showSerName val="0"/>
          <c:showPercent val="0"/>
          <c:showBubbleSize val="0"/>
        </c:dLbls>
        <c:smooth val="0"/>
        <c:axId val="868175680"/>
        <c:axId val="868170400"/>
        <c:extLst>
          <c:ext xmlns:c15="http://schemas.microsoft.com/office/drawing/2012/chart" uri="{02D57815-91ED-43cb-92C2-25804820EDAC}">
            <c15:filteredLineSeries>
              <c15:ser>
                <c:idx val="0"/>
                <c:order val="0"/>
                <c:tx>
                  <c:strRef>
                    <c:extLst>
                      <c:ext uri="{02D57815-91ED-43cb-92C2-25804820EDAC}">
                        <c15:formulaRef>
                          <c15:sqref>Sheet1!$B$15</c15:sqref>
                        </c15:formulaRef>
                      </c:ext>
                    </c:extLst>
                    <c:strCache>
                      <c:ptCount val="1"/>
                      <c:pt idx="0">
                        <c:v>Green</c:v>
                      </c:pt>
                    </c:strCache>
                  </c:strRef>
                </c:tx>
                <c:spPr>
                  <a:ln w="28575" cap="rnd">
                    <a:solidFill>
                      <a:schemeClr val="accent2"/>
                    </a:solidFill>
                    <a:round/>
                  </a:ln>
                  <a:effectLst/>
                </c:spPr>
                <c:marker>
                  <c:symbol val="none"/>
                </c:marker>
                <c:cat>
                  <c:numRef>
                    <c:extLst>
                      <c:ex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c:ext uri="{02D57815-91ED-43cb-92C2-25804820EDAC}">
                        <c15:formulaRef>
                          <c15:sqref>Sheet1!$B$16:$B$68</c15:sqref>
                        </c15:formulaRef>
                      </c:ext>
                    </c:extLst>
                    <c:numCache>
                      <c:formatCode>General</c:formatCode>
                      <c:ptCount val="53"/>
                      <c:pt idx="0">
                        <c:v>14</c:v>
                      </c:pt>
                      <c:pt idx="1">
                        <c:v>19</c:v>
                      </c:pt>
                      <c:pt idx="2">
                        <c:v>18</c:v>
                      </c:pt>
                      <c:pt idx="3">
                        <c:v>39</c:v>
                      </c:pt>
                      <c:pt idx="4">
                        <c:v>25</c:v>
                      </c:pt>
                      <c:pt idx="5">
                        <c:v>25</c:v>
                      </c:pt>
                      <c:pt idx="6">
                        <c:v>21</c:v>
                      </c:pt>
                      <c:pt idx="7">
                        <c:v>23</c:v>
                      </c:pt>
                      <c:pt idx="8">
                        <c:v>25</c:v>
                      </c:pt>
                      <c:pt idx="9">
                        <c:v>17</c:v>
                      </c:pt>
                      <c:pt idx="10">
                        <c:v>19</c:v>
                      </c:pt>
                      <c:pt idx="11">
                        <c:v>16</c:v>
                      </c:pt>
                      <c:pt idx="12">
                        <c:v>21</c:v>
                      </c:pt>
                      <c:pt idx="13">
                        <c:v>17</c:v>
                      </c:pt>
                      <c:pt idx="14">
                        <c:v>15</c:v>
                      </c:pt>
                      <c:pt idx="15">
                        <c:v>16</c:v>
                      </c:pt>
                      <c:pt idx="16">
                        <c:v>10</c:v>
                      </c:pt>
                      <c:pt idx="17">
                        <c:v>10</c:v>
                      </c:pt>
                      <c:pt idx="18">
                        <c:v>27</c:v>
                      </c:pt>
                      <c:pt idx="19">
                        <c:v>23</c:v>
                      </c:pt>
                      <c:pt idx="20">
                        <c:v>23</c:v>
                      </c:pt>
                      <c:pt idx="21">
                        <c:v>26</c:v>
                      </c:pt>
                      <c:pt idx="22">
                        <c:v>25</c:v>
                      </c:pt>
                      <c:pt idx="23">
                        <c:v>25</c:v>
                      </c:pt>
                      <c:pt idx="24">
                        <c:v>25</c:v>
                      </c:pt>
                      <c:pt idx="25">
                        <c:v>27</c:v>
                      </c:pt>
                      <c:pt idx="26">
                        <c:v>26</c:v>
                      </c:pt>
                      <c:pt idx="27">
                        <c:v>30</c:v>
                      </c:pt>
                      <c:pt idx="28">
                        <c:v>27</c:v>
                      </c:pt>
                      <c:pt idx="29">
                        <c:v>24</c:v>
                      </c:pt>
                      <c:pt idx="30">
                        <c:v>32</c:v>
                      </c:pt>
                      <c:pt idx="31">
                        <c:v>32</c:v>
                      </c:pt>
                      <c:pt idx="32">
                        <c:v>33</c:v>
                      </c:pt>
                      <c:pt idx="33">
                        <c:v>33</c:v>
                      </c:pt>
                      <c:pt idx="34">
                        <c:v>37</c:v>
                      </c:pt>
                      <c:pt idx="35">
                        <c:v>40</c:v>
                      </c:pt>
                      <c:pt idx="36">
                        <c:v>37</c:v>
                      </c:pt>
                      <c:pt idx="37">
                        <c:v>34</c:v>
                      </c:pt>
                      <c:pt idx="38">
                        <c:v>35</c:v>
                      </c:pt>
                      <c:pt idx="39">
                        <c:v>29</c:v>
                      </c:pt>
                      <c:pt idx="40">
                        <c:v>35</c:v>
                      </c:pt>
                      <c:pt idx="41">
                        <c:v>33</c:v>
                      </c:pt>
                      <c:pt idx="42">
                        <c:v>28</c:v>
                      </c:pt>
                      <c:pt idx="43">
                        <c:v>24</c:v>
                      </c:pt>
                      <c:pt idx="44">
                        <c:v>27</c:v>
                      </c:pt>
                      <c:pt idx="45">
                        <c:v>27</c:v>
                      </c:pt>
                      <c:pt idx="46">
                        <c:v>33</c:v>
                      </c:pt>
                      <c:pt idx="47">
                        <c:v>25</c:v>
                      </c:pt>
                      <c:pt idx="48">
                        <c:v>21</c:v>
                      </c:pt>
                      <c:pt idx="49">
                        <c:v>22</c:v>
                      </c:pt>
                      <c:pt idx="50">
                        <c:v>20</c:v>
                      </c:pt>
                      <c:pt idx="51">
                        <c:v>23</c:v>
                      </c:pt>
                      <c:pt idx="52">
                        <c:v>16</c:v>
                      </c:pt>
                    </c:numCache>
                  </c:numRef>
                </c:val>
                <c:smooth val="0"/>
                <c:extLst>
                  <c:ext xmlns:c16="http://schemas.microsoft.com/office/drawing/2014/chart" uri="{C3380CC4-5D6E-409C-BE32-E72D297353CC}">
                    <c16:uniqueId val="{00000003-D034-4038-8EC8-010C123EF3FB}"/>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Sheet1!$D$15</c15:sqref>
                        </c15:formulaRef>
                      </c:ext>
                    </c:extLst>
                    <c:strCache>
                      <c:ptCount val="1"/>
                      <c:pt idx="0">
                        <c:v>Amber</c:v>
                      </c:pt>
                    </c:strCache>
                  </c:strRef>
                </c:tx>
                <c:spPr>
                  <a:ln w="28575" cap="rnd">
                    <a:solidFill>
                      <a:schemeClr val="accent6"/>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xmlns:c15="http://schemas.microsoft.com/office/drawing/2012/chart">
                      <c:ext xmlns:c15="http://schemas.microsoft.com/office/drawing/2012/chart" uri="{02D57815-91ED-43cb-92C2-25804820EDAC}">
                        <c15:formulaRef>
                          <c15:sqref>Sheet1!$D$16:$D$68</c15:sqref>
                        </c15:formulaRef>
                      </c:ext>
                    </c:extLst>
                    <c:numCache>
                      <c:formatCode>General</c:formatCode>
                      <c:ptCount val="53"/>
                      <c:pt idx="0">
                        <c:v>71</c:v>
                      </c:pt>
                      <c:pt idx="1">
                        <c:v>64</c:v>
                      </c:pt>
                      <c:pt idx="2">
                        <c:v>55</c:v>
                      </c:pt>
                      <c:pt idx="3">
                        <c:v>52</c:v>
                      </c:pt>
                      <c:pt idx="4">
                        <c:v>74</c:v>
                      </c:pt>
                      <c:pt idx="5">
                        <c:v>64</c:v>
                      </c:pt>
                      <c:pt idx="6">
                        <c:v>78</c:v>
                      </c:pt>
                      <c:pt idx="7">
                        <c:v>77</c:v>
                      </c:pt>
                      <c:pt idx="8">
                        <c:v>82</c:v>
                      </c:pt>
                      <c:pt idx="9">
                        <c:v>66</c:v>
                      </c:pt>
                      <c:pt idx="10">
                        <c:v>77</c:v>
                      </c:pt>
                      <c:pt idx="11">
                        <c:v>71</c:v>
                      </c:pt>
                      <c:pt idx="12">
                        <c:v>75</c:v>
                      </c:pt>
                      <c:pt idx="13">
                        <c:v>76</c:v>
                      </c:pt>
                      <c:pt idx="14">
                        <c:v>66</c:v>
                      </c:pt>
                      <c:pt idx="15">
                        <c:v>70</c:v>
                      </c:pt>
                      <c:pt idx="16">
                        <c:v>73</c:v>
                      </c:pt>
                      <c:pt idx="17">
                        <c:v>62</c:v>
                      </c:pt>
                      <c:pt idx="18">
                        <c:v>70</c:v>
                      </c:pt>
                      <c:pt idx="19">
                        <c:v>76</c:v>
                      </c:pt>
                      <c:pt idx="20">
                        <c:v>81</c:v>
                      </c:pt>
                      <c:pt idx="21">
                        <c:v>74</c:v>
                      </c:pt>
                      <c:pt idx="22">
                        <c:v>78</c:v>
                      </c:pt>
                      <c:pt idx="23">
                        <c:v>85</c:v>
                      </c:pt>
                      <c:pt idx="24">
                        <c:v>70</c:v>
                      </c:pt>
                      <c:pt idx="25">
                        <c:v>70</c:v>
                      </c:pt>
                      <c:pt idx="26">
                        <c:v>79</c:v>
                      </c:pt>
                      <c:pt idx="27">
                        <c:v>77</c:v>
                      </c:pt>
                      <c:pt idx="28">
                        <c:v>68</c:v>
                      </c:pt>
                      <c:pt idx="29">
                        <c:v>78</c:v>
                      </c:pt>
                      <c:pt idx="30">
                        <c:v>67</c:v>
                      </c:pt>
                      <c:pt idx="31">
                        <c:v>49</c:v>
                      </c:pt>
                      <c:pt idx="32">
                        <c:v>61</c:v>
                      </c:pt>
                      <c:pt idx="33">
                        <c:v>64</c:v>
                      </c:pt>
                      <c:pt idx="34">
                        <c:v>59</c:v>
                      </c:pt>
                      <c:pt idx="35">
                        <c:v>72</c:v>
                      </c:pt>
                      <c:pt idx="36">
                        <c:v>67</c:v>
                      </c:pt>
                      <c:pt idx="37">
                        <c:v>64</c:v>
                      </c:pt>
                      <c:pt idx="38">
                        <c:v>58</c:v>
                      </c:pt>
                      <c:pt idx="39">
                        <c:v>60</c:v>
                      </c:pt>
                      <c:pt idx="40">
                        <c:v>64</c:v>
                      </c:pt>
                      <c:pt idx="41">
                        <c:v>54</c:v>
                      </c:pt>
                      <c:pt idx="42">
                        <c:v>63</c:v>
                      </c:pt>
                      <c:pt idx="43">
                        <c:v>79</c:v>
                      </c:pt>
                      <c:pt idx="44">
                        <c:v>75</c:v>
                      </c:pt>
                      <c:pt idx="45">
                        <c:v>75</c:v>
                      </c:pt>
                      <c:pt idx="46">
                        <c:v>80</c:v>
                      </c:pt>
                      <c:pt idx="47">
                        <c:v>82</c:v>
                      </c:pt>
                      <c:pt idx="48">
                        <c:v>79</c:v>
                      </c:pt>
                      <c:pt idx="49">
                        <c:v>75</c:v>
                      </c:pt>
                      <c:pt idx="50">
                        <c:v>69</c:v>
                      </c:pt>
                      <c:pt idx="51">
                        <c:v>73</c:v>
                      </c:pt>
                      <c:pt idx="52">
                        <c:v>73</c:v>
                      </c:pt>
                    </c:numCache>
                  </c:numRef>
                </c:val>
                <c:smooth val="0"/>
                <c:extLst xmlns:c15="http://schemas.microsoft.com/office/drawing/2012/chart">
                  <c:ext xmlns:c16="http://schemas.microsoft.com/office/drawing/2014/chart" uri="{C3380CC4-5D6E-409C-BE32-E72D297353CC}">
                    <c16:uniqueId val="{00000004-D034-4038-8EC8-010C123EF3FB}"/>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Sheet1!$E$15</c15:sqref>
                        </c15:formulaRef>
                      </c:ext>
                    </c:extLst>
                    <c:strCache>
                      <c:ptCount val="1"/>
                      <c:pt idx="0">
                        <c:v>Amber %</c:v>
                      </c:pt>
                    </c:strCache>
                  </c:strRef>
                </c:tx>
                <c:spPr>
                  <a:ln w="28575" cap="rnd">
                    <a:solidFill>
                      <a:schemeClr val="accent2">
                        <a:lumMod val="6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xmlns:c15="http://schemas.microsoft.com/office/drawing/2012/chart">
                      <c:ext xmlns:c15="http://schemas.microsoft.com/office/drawing/2012/chart" uri="{02D57815-91ED-43cb-92C2-25804820EDAC}">
                        <c15:formulaRef>
                          <c15:sqref>Sheet1!$E$16:$E$68</c15:sqref>
                        </c15:formulaRef>
                      </c:ext>
                    </c:extLst>
                    <c:numCache>
                      <c:formatCode>0.00%</c:formatCode>
                      <c:ptCount val="53"/>
                      <c:pt idx="0">
                        <c:v>0.63959999999999995</c:v>
                      </c:pt>
                      <c:pt idx="1">
                        <c:v>0.50790000000000002</c:v>
                      </c:pt>
                      <c:pt idx="2">
                        <c:v>0.48249999999999998</c:v>
                      </c:pt>
                      <c:pt idx="3">
                        <c:v>0.48149999999999998</c:v>
                      </c:pt>
                      <c:pt idx="4">
                        <c:v>0.56920000000000004</c:v>
                      </c:pt>
                      <c:pt idx="5">
                        <c:v>0.5161</c:v>
                      </c:pt>
                      <c:pt idx="6">
                        <c:v>0.61419999999999997</c:v>
                      </c:pt>
                      <c:pt idx="7">
                        <c:v>0.56689999999999996</c:v>
                      </c:pt>
                      <c:pt idx="8">
                        <c:v>0.56940000000000002</c:v>
                      </c:pt>
                      <c:pt idx="9">
                        <c:v>0.56410000000000005</c:v>
                      </c:pt>
                      <c:pt idx="10">
                        <c:v>0.53469999999999995</c:v>
                      </c:pt>
                      <c:pt idx="11">
                        <c:v>0.57720000000000005</c:v>
                      </c:pt>
                      <c:pt idx="12">
                        <c:v>0.60980000000000001</c:v>
                      </c:pt>
                      <c:pt idx="13">
                        <c:v>0.60799999999999998</c:v>
                      </c:pt>
                      <c:pt idx="14">
                        <c:v>0.56410000000000005</c:v>
                      </c:pt>
                      <c:pt idx="15">
                        <c:v>0.55559999999999998</c:v>
                      </c:pt>
                      <c:pt idx="16">
                        <c:v>0.58399999999999996</c:v>
                      </c:pt>
                      <c:pt idx="17">
                        <c:v>0.54869999999999997</c:v>
                      </c:pt>
                      <c:pt idx="18">
                        <c:v>0.56910000000000005</c:v>
                      </c:pt>
                      <c:pt idx="19">
                        <c:v>0.6129</c:v>
                      </c:pt>
                      <c:pt idx="20">
                        <c:v>0.63780000000000003</c:v>
                      </c:pt>
                      <c:pt idx="21">
                        <c:v>0.60660000000000003</c:v>
                      </c:pt>
                      <c:pt idx="22">
                        <c:v>0.629</c:v>
                      </c:pt>
                      <c:pt idx="23">
                        <c:v>0.6391</c:v>
                      </c:pt>
                      <c:pt idx="24">
                        <c:v>0.61399999999999999</c:v>
                      </c:pt>
                      <c:pt idx="25">
                        <c:v>0.59319999999999995</c:v>
                      </c:pt>
                      <c:pt idx="26">
                        <c:v>0.66390000000000005</c:v>
                      </c:pt>
                      <c:pt idx="27">
                        <c:v>0.59230000000000005</c:v>
                      </c:pt>
                      <c:pt idx="28">
                        <c:v>0.56669999999999998</c:v>
                      </c:pt>
                      <c:pt idx="29">
                        <c:v>0.63929999999999998</c:v>
                      </c:pt>
                      <c:pt idx="30">
                        <c:v>0.56779999999999997</c:v>
                      </c:pt>
                      <c:pt idx="31">
                        <c:v>0.45789999999999997</c:v>
                      </c:pt>
                      <c:pt idx="32">
                        <c:v>0.50409999999999999</c:v>
                      </c:pt>
                      <c:pt idx="33">
                        <c:v>0.53779999999999994</c:v>
                      </c:pt>
                      <c:pt idx="34">
                        <c:v>0.55659999999999998</c:v>
                      </c:pt>
                      <c:pt idx="35">
                        <c:v>0.6</c:v>
                      </c:pt>
                      <c:pt idx="36">
                        <c:v>0.5877</c:v>
                      </c:pt>
                      <c:pt idx="37">
                        <c:v>0.58179999999999998</c:v>
                      </c:pt>
                      <c:pt idx="38">
                        <c:v>0.56310000000000004</c:v>
                      </c:pt>
                      <c:pt idx="39">
                        <c:v>0.6</c:v>
                      </c:pt>
                      <c:pt idx="40">
                        <c:v>0.57140000000000002</c:v>
                      </c:pt>
                      <c:pt idx="41">
                        <c:v>0.54549999999999998</c:v>
                      </c:pt>
                      <c:pt idx="42">
                        <c:v>0.58879999999999999</c:v>
                      </c:pt>
                      <c:pt idx="43">
                        <c:v>0.67519999999999991</c:v>
                      </c:pt>
                      <c:pt idx="44">
                        <c:v>0.63029999999999997</c:v>
                      </c:pt>
                      <c:pt idx="45">
                        <c:v>0.61980000000000002</c:v>
                      </c:pt>
                      <c:pt idx="46">
                        <c:v>0.62020000000000008</c:v>
                      </c:pt>
                      <c:pt idx="47">
                        <c:v>0.6613</c:v>
                      </c:pt>
                      <c:pt idx="48">
                        <c:v>0.6583</c:v>
                      </c:pt>
                      <c:pt idx="49">
                        <c:v>0.61980000000000002</c:v>
                      </c:pt>
                      <c:pt idx="50">
                        <c:v>0.62159999999999993</c:v>
                      </c:pt>
                      <c:pt idx="51">
                        <c:v>0.64040000000000008</c:v>
                      </c:pt>
                      <c:pt idx="52">
                        <c:v>0.67590000000000006</c:v>
                      </c:pt>
                    </c:numCache>
                  </c:numRef>
                </c:val>
                <c:smooth val="0"/>
                <c:extLst xmlns:c15="http://schemas.microsoft.com/office/drawing/2012/chart">
                  <c:ext xmlns:c16="http://schemas.microsoft.com/office/drawing/2014/chart" uri="{C3380CC4-5D6E-409C-BE32-E72D297353CC}">
                    <c16:uniqueId val="{00000005-D034-4038-8EC8-010C123EF3FB}"/>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Sheet1!$F$15</c15:sqref>
                        </c15:formulaRef>
                      </c:ext>
                    </c:extLst>
                    <c:strCache>
                      <c:ptCount val="1"/>
                      <c:pt idx="0">
                        <c:v>Red</c:v>
                      </c:pt>
                    </c:strCache>
                  </c:strRef>
                </c:tx>
                <c:spPr>
                  <a:ln w="28575" cap="rnd">
                    <a:solidFill>
                      <a:schemeClr val="accent4">
                        <a:lumMod val="6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xmlns:c15="http://schemas.microsoft.com/office/drawing/2012/chart">
                      <c:ext xmlns:c15="http://schemas.microsoft.com/office/drawing/2012/chart" uri="{02D57815-91ED-43cb-92C2-25804820EDAC}">
                        <c15:formulaRef>
                          <c15:sqref>Sheet1!$F$16:$F$68</c15:sqref>
                        </c15:formulaRef>
                      </c:ext>
                    </c:extLst>
                    <c:numCache>
                      <c:formatCode>General</c:formatCode>
                      <c:ptCount val="53"/>
                      <c:pt idx="0">
                        <c:v>24</c:v>
                      </c:pt>
                      <c:pt idx="1">
                        <c:v>37</c:v>
                      </c:pt>
                      <c:pt idx="2">
                        <c:v>35</c:v>
                      </c:pt>
                      <c:pt idx="3">
                        <c:v>16</c:v>
                      </c:pt>
                      <c:pt idx="4">
                        <c:v>29</c:v>
                      </c:pt>
                      <c:pt idx="5">
                        <c:v>31</c:v>
                      </c:pt>
                      <c:pt idx="6">
                        <c:v>24</c:v>
                      </c:pt>
                      <c:pt idx="7">
                        <c:v>28</c:v>
                      </c:pt>
                      <c:pt idx="8">
                        <c:v>31</c:v>
                      </c:pt>
                      <c:pt idx="9">
                        <c:v>29</c:v>
                      </c:pt>
                      <c:pt idx="10">
                        <c:v>41</c:v>
                      </c:pt>
                      <c:pt idx="11">
                        <c:v>27</c:v>
                      </c:pt>
                      <c:pt idx="12">
                        <c:v>22</c:v>
                      </c:pt>
                      <c:pt idx="13">
                        <c:v>25</c:v>
                      </c:pt>
                      <c:pt idx="14">
                        <c:v>33</c:v>
                      </c:pt>
                      <c:pt idx="15">
                        <c:v>33</c:v>
                      </c:pt>
                      <c:pt idx="16">
                        <c:v>36</c:v>
                      </c:pt>
                      <c:pt idx="17">
                        <c:v>39</c:v>
                      </c:pt>
                      <c:pt idx="18">
                        <c:v>22</c:v>
                      </c:pt>
                      <c:pt idx="19">
                        <c:v>22</c:v>
                      </c:pt>
                      <c:pt idx="20">
                        <c:v>23</c:v>
                      </c:pt>
                      <c:pt idx="21">
                        <c:v>20</c:v>
                      </c:pt>
                      <c:pt idx="22">
                        <c:v>20</c:v>
                      </c:pt>
                      <c:pt idx="23">
                        <c:v>21</c:v>
                      </c:pt>
                      <c:pt idx="24">
                        <c:v>18</c:v>
                      </c:pt>
                      <c:pt idx="25">
                        <c:v>18</c:v>
                      </c:pt>
                      <c:pt idx="26">
                        <c:v>13</c:v>
                      </c:pt>
                      <c:pt idx="27">
                        <c:v>21</c:v>
                      </c:pt>
                      <c:pt idx="28">
                        <c:v>22</c:v>
                      </c:pt>
                      <c:pt idx="29">
                        <c:v>19</c:v>
                      </c:pt>
                      <c:pt idx="30">
                        <c:v>19</c:v>
                      </c:pt>
                      <c:pt idx="31">
                        <c:v>24</c:v>
                      </c:pt>
                      <c:pt idx="32">
                        <c:v>26</c:v>
                      </c:pt>
                      <c:pt idx="33">
                        <c:v>31</c:v>
                      </c:pt>
                      <c:pt idx="34">
                        <c:v>10</c:v>
                      </c:pt>
                      <c:pt idx="35">
                        <c:v>7</c:v>
                      </c:pt>
                      <c:pt idx="36">
                        <c:v>10</c:v>
                      </c:pt>
                      <c:pt idx="37">
                        <c:v>11</c:v>
                      </c:pt>
                      <c:pt idx="38">
                        <c:v>9</c:v>
                      </c:pt>
                      <c:pt idx="39">
                        <c:v>10</c:v>
                      </c:pt>
                      <c:pt idx="40">
                        <c:v>11</c:v>
                      </c:pt>
                      <c:pt idx="41">
                        <c:v>9</c:v>
                      </c:pt>
                      <c:pt idx="42">
                        <c:v>14</c:v>
                      </c:pt>
                      <c:pt idx="43">
                        <c:v>11</c:v>
                      </c:pt>
                      <c:pt idx="44">
                        <c:v>17</c:v>
                      </c:pt>
                      <c:pt idx="45">
                        <c:v>19</c:v>
                      </c:pt>
                      <c:pt idx="46">
                        <c:v>16</c:v>
                      </c:pt>
                      <c:pt idx="47">
                        <c:v>16</c:v>
                      </c:pt>
                      <c:pt idx="48">
                        <c:v>18</c:v>
                      </c:pt>
                      <c:pt idx="49">
                        <c:v>19</c:v>
                      </c:pt>
                      <c:pt idx="50">
                        <c:v>20</c:v>
                      </c:pt>
                      <c:pt idx="51">
                        <c:v>14</c:v>
                      </c:pt>
                      <c:pt idx="52">
                        <c:v>17</c:v>
                      </c:pt>
                    </c:numCache>
                  </c:numRef>
                </c:val>
                <c:smooth val="0"/>
                <c:extLst xmlns:c15="http://schemas.microsoft.com/office/drawing/2012/chart">
                  <c:ext xmlns:c16="http://schemas.microsoft.com/office/drawing/2014/chart" uri="{C3380CC4-5D6E-409C-BE32-E72D297353CC}">
                    <c16:uniqueId val="{00000006-D034-4038-8EC8-010C123EF3FB}"/>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Sheet1!$G$15</c15:sqref>
                        </c15:formulaRef>
                      </c:ext>
                    </c:extLst>
                    <c:strCache>
                      <c:ptCount val="1"/>
                      <c:pt idx="0">
                        <c:v>Red %</c:v>
                      </c:pt>
                    </c:strCache>
                  </c:strRef>
                </c:tx>
                <c:spPr>
                  <a:ln w="28575" cap="rnd">
                    <a:solidFill>
                      <a:schemeClr val="accent6">
                        <a:lumMod val="6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xmlns:c15="http://schemas.microsoft.com/office/drawing/2012/chart">
                      <c:ext xmlns:c15="http://schemas.microsoft.com/office/drawing/2012/chart" uri="{02D57815-91ED-43cb-92C2-25804820EDAC}">
                        <c15:formulaRef>
                          <c15:sqref>Sheet1!$G$16:$G$68</c15:sqref>
                        </c15:formulaRef>
                      </c:ext>
                    </c:extLst>
                    <c:numCache>
                      <c:formatCode>0.00%</c:formatCode>
                      <c:ptCount val="53"/>
                      <c:pt idx="0">
                        <c:v>0.2162</c:v>
                      </c:pt>
                      <c:pt idx="1">
                        <c:v>0.29370000000000002</c:v>
                      </c:pt>
                      <c:pt idx="2">
                        <c:v>0.307</c:v>
                      </c:pt>
                      <c:pt idx="3">
                        <c:v>0.14810000000000001</c:v>
                      </c:pt>
                      <c:pt idx="4">
                        <c:v>0.22309999999999999</c:v>
                      </c:pt>
                      <c:pt idx="5">
                        <c:v>0.25</c:v>
                      </c:pt>
                      <c:pt idx="6">
                        <c:v>0.189</c:v>
                      </c:pt>
                      <c:pt idx="7">
                        <c:v>0.21709999999999999</c:v>
                      </c:pt>
                      <c:pt idx="8">
                        <c:v>0.21529999999999999</c:v>
                      </c:pt>
                      <c:pt idx="9">
                        <c:v>0.24790000000000001</c:v>
                      </c:pt>
                      <c:pt idx="10">
                        <c:v>0.28470000000000001</c:v>
                      </c:pt>
                      <c:pt idx="11">
                        <c:v>0.2195</c:v>
                      </c:pt>
                      <c:pt idx="12">
                        <c:v>0.1789</c:v>
                      </c:pt>
                      <c:pt idx="13">
                        <c:v>0.2</c:v>
                      </c:pt>
                      <c:pt idx="14">
                        <c:v>0.28210000000000002</c:v>
                      </c:pt>
                      <c:pt idx="15">
                        <c:v>0.26190000000000002</c:v>
                      </c:pt>
                      <c:pt idx="16">
                        <c:v>0.28799999999999998</c:v>
                      </c:pt>
                      <c:pt idx="17">
                        <c:v>0.34510000000000002</c:v>
                      </c:pt>
                      <c:pt idx="18">
                        <c:v>0.1789</c:v>
                      </c:pt>
                      <c:pt idx="19">
                        <c:v>0.1774</c:v>
                      </c:pt>
                      <c:pt idx="20">
                        <c:v>0.18110000000000001</c:v>
                      </c:pt>
                      <c:pt idx="21">
                        <c:v>0.16389999999999999</c:v>
                      </c:pt>
                      <c:pt idx="22">
                        <c:v>0.1613</c:v>
                      </c:pt>
                      <c:pt idx="23">
                        <c:v>0.15790000000000001</c:v>
                      </c:pt>
                      <c:pt idx="24">
                        <c:v>0.15790000000000001</c:v>
                      </c:pt>
                      <c:pt idx="25">
                        <c:v>0.1525</c:v>
                      </c:pt>
                      <c:pt idx="26">
                        <c:v>0.10920000000000001</c:v>
                      </c:pt>
                      <c:pt idx="27">
                        <c:v>0.1615</c:v>
                      </c:pt>
                      <c:pt idx="28">
                        <c:v>0.18329999999999999</c:v>
                      </c:pt>
                      <c:pt idx="29">
                        <c:v>0.15570000000000001</c:v>
                      </c:pt>
                      <c:pt idx="30">
                        <c:v>0.161</c:v>
                      </c:pt>
                      <c:pt idx="31">
                        <c:v>0.2243</c:v>
                      </c:pt>
                      <c:pt idx="32">
                        <c:v>0.21490000000000001</c:v>
                      </c:pt>
                      <c:pt idx="33">
                        <c:v>0.17649999999999999</c:v>
                      </c:pt>
                      <c:pt idx="34">
                        <c:v>9.4299999999999995E-2</c:v>
                      </c:pt>
                      <c:pt idx="35">
                        <c:v>5.8299999999999998E-2</c:v>
                      </c:pt>
                      <c:pt idx="36">
                        <c:v>8.77E-2</c:v>
                      </c:pt>
                      <c:pt idx="37">
                        <c:v>0.1</c:v>
                      </c:pt>
                      <c:pt idx="38">
                        <c:v>8.7400000000000005E-2</c:v>
                      </c:pt>
                      <c:pt idx="39">
                        <c:v>0.1</c:v>
                      </c:pt>
                      <c:pt idx="40">
                        <c:v>9.8199999999999996E-2</c:v>
                      </c:pt>
                      <c:pt idx="41">
                        <c:v>9.0899999999999995E-2</c:v>
                      </c:pt>
                      <c:pt idx="42">
                        <c:v>0.1308</c:v>
                      </c:pt>
                      <c:pt idx="43">
                        <c:v>9.4E-2</c:v>
                      </c:pt>
                      <c:pt idx="44">
                        <c:v>0.1429</c:v>
                      </c:pt>
                      <c:pt idx="45">
                        <c:v>0.157</c:v>
                      </c:pt>
                      <c:pt idx="46">
                        <c:v>0.124</c:v>
                      </c:pt>
                      <c:pt idx="47">
                        <c:v>0.129</c:v>
                      </c:pt>
                      <c:pt idx="48">
                        <c:v>0.15</c:v>
                      </c:pt>
                      <c:pt idx="49">
                        <c:v>0.157</c:v>
                      </c:pt>
                      <c:pt idx="50">
                        <c:v>0.1802</c:v>
                      </c:pt>
                      <c:pt idx="51">
                        <c:v>0.12280000000000001</c:v>
                      </c:pt>
                      <c:pt idx="52">
                        <c:v>0.15740000000000001</c:v>
                      </c:pt>
                    </c:numCache>
                  </c:numRef>
                </c:val>
                <c:smooth val="0"/>
                <c:extLst xmlns:c15="http://schemas.microsoft.com/office/drawing/2012/chart">
                  <c:ext xmlns:c16="http://schemas.microsoft.com/office/drawing/2014/chart" uri="{C3380CC4-5D6E-409C-BE32-E72D297353CC}">
                    <c16:uniqueId val="{00000007-D034-4038-8EC8-010C123EF3FB}"/>
                  </c:ext>
                </c:extLst>
              </c15:ser>
            </c15:filteredLineSeries>
            <c15:filteredLineSeries>
              <c15:ser>
                <c:idx val="6"/>
                <c:order val="6"/>
                <c:tx>
                  <c:strRef>
                    <c:extLst xmlns:c15="http://schemas.microsoft.com/office/drawing/2012/chart">
                      <c:ext xmlns:c15="http://schemas.microsoft.com/office/drawing/2012/chart" uri="{02D57815-91ED-43cb-92C2-25804820EDAC}">
                        <c15:formulaRef>
                          <c15:sqref>Sheet1!$H$15</c15:sqref>
                        </c15:formulaRef>
                      </c:ext>
                    </c:extLst>
                    <c:strCache>
                      <c:ptCount val="1"/>
                      <c:pt idx="0">
                        <c:v>Black</c:v>
                      </c:pt>
                    </c:strCache>
                  </c:strRef>
                </c:tx>
                <c:spPr>
                  <a:ln w="28575" cap="rnd">
                    <a:solidFill>
                      <a:schemeClr val="accent2">
                        <a:lumMod val="80000"/>
                        <a:lumOff val="2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xmlns:c15="http://schemas.microsoft.com/office/drawing/2012/chart">
                      <c:ext xmlns:c15="http://schemas.microsoft.com/office/drawing/2012/chart" uri="{02D57815-91ED-43cb-92C2-25804820EDAC}">
                        <c15:formulaRef>
                          <c15:sqref>Sheet1!$H$16:$H$68</c15:sqref>
                        </c15:formulaRef>
                      </c:ext>
                    </c:extLst>
                    <c:numCache>
                      <c:formatCode>General</c:formatCode>
                      <c:ptCount val="53"/>
                      <c:pt idx="0">
                        <c:v>2</c:v>
                      </c:pt>
                      <c:pt idx="1">
                        <c:v>6</c:v>
                      </c:pt>
                      <c:pt idx="2">
                        <c:v>0</c:v>
                      </c:pt>
                      <c:pt idx="3">
                        <c:v>1</c:v>
                      </c:pt>
                      <c:pt idx="4">
                        <c:v>2</c:v>
                      </c:pt>
                      <c:pt idx="5">
                        <c:v>4</c:v>
                      </c:pt>
                      <c:pt idx="6">
                        <c:v>4</c:v>
                      </c:pt>
                      <c:pt idx="7">
                        <c:v>1</c:v>
                      </c:pt>
                      <c:pt idx="8">
                        <c:v>6</c:v>
                      </c:pt>
                      <c:pt idx="9">
                        <c:v>5</c:v>
                      </c:pt>
                      <c:pt idx="10">
                        <c:v>7</c:v>
                      </c:pt>
                      <c:pt idx="11">
                        <c:v>9</c:v>
                      </c:pt>
                      <c:pt idx="12">
                        <c:v>5</c:v>
                      </c:pt>
                      <c:pt idx="13">
                        <c:v>7</c:v>
                      </c:pt>
                      <c:pt idx="14">
                        <c:v>3</c:v>
                      </c:pt>
                      <c:pt idx="15">
                        <c:v>7</c:v>
                      </c:pt>
                      <c:pt idx="16">
                        <c:v>6</c:v>
                      </c:pt>
                      <c:pt idx="17">
                        <c:v>2</c:v>
                      </c:pt>
                      <c:pt idx="18">
                        <c:v>4</c:v>
                      </c:pt>
                      <c:pt idx="19">
                        <c:v>3</c:v>
                      </c:pt>
                      <c:pt idx="20">
                        <c:v>0</c:v>
                      </c:pt>
                      <c:pt idx="21">
                        <c:v>2</c:v>
                      </c:pt>
                      <c:pt idx="22">
                        <c:v>1</c:v>
                      </c:pt>
                      <c:pt idx="23">
                        <c:v>2</c:v>
                      </c:pt>
                      <c:pt idx="24">
                        <c:v>1</c:v>
                      </c:pt>
                      <c:pt idx="25">
                        <c:v>3</c:v>
                      </c:pt>
                      <c:pt idx="26">
                        <c:v>1</c:v>
                      </c:pt>
                      <c:pt idx="27">
                        <c:v>2</c:v>
                      </c:pt>
                      <c:pt idx="28">
                        <c:v>3</c:v>
                      </c:pt>
                      <c:pt idx="29">
                        <c:v>1</c:v>
                      </c:pt>
                      <c:pt idx="30">
                        <c:v>0</c:v>
                      </c:pt>
                      <c:pt idx="31">
                        <c:v>2</c:v>
                      </c:pt>
                      <c:pt idx="32">
                        <c:v>1</c:v>
                      </c:pt>
                      <c:pt idx="33">
                        <c:v>1</c:v>
                      </c:pt>
                      <c:pt idx="34">
                        <c:v>0</c:v>
                      </c:pt>
                      <c:pt idx="35">
                        <c:v>1</c:v>
                      </c:pt>
                      <c:pt idx="36">
                        <c:v>0</c:v>
                      </c:pt>
                      <c:pt idx="37">
                        <c:v>1</c:v>
                      </c:pt>
                      <c:pt idx="38">
                        <c:v>1</c:v>
                      </c:pt>
                      <c:pt idx="39">
                        <c:v>1</c:v>
                      </c:pt>
                      <c:pt idx="40">
                        <c:v>2</c:v>
                      </c:pt>
                      <c:pt idx="41">
                        <c:v>3</c:v>
                      </c:pt>
                      <c:pt idx="42">
                        <c:v>2</c:v>
                      </c:pt>
                      <c:pt idx="43">
                        <c:v>3</c:v>
                      </c:pt>
                      <c:pt idx="44">
                        <c:v>0</c:v>
                      </c:pt>
                      <c:pt idx="45">
                        <c:v>0</c:v>
                      </c:pt>
                      <c:pt idx="46">
                        <c:v>0</c:v>
                      </c:pt>
                      <c:pt idx="47">
                        <c:v>1</c:v>
                      </c:pt>
                      <c:pt idx="48">
                        <c:v>2</c:v>
                      </c:pt>
                      <c:pt idx="49">
                        <c:v>5</c:v>
                      </c:pt>
                      <c:pt idx="50">
                        <c:v>2</c:v>
                      </c:pt>
                      <c:pt idx="51">
                        <c:v>4</c:v>
                      </c:pt>
                      <c:pt idx="52">
                        <c:v>2</c:v>
                      </c:pt>
                    </c:numCache>
                  </c:numRef>
                </c:val>
                <c:smooth val="0"/>
                <c:extLst xmlns:c15="http://schemas.microsoft.com/office/drawing/2012/chart">
                  <c:ext xmlns:c16="http://schemas.microsoft.com/office/drawing/2014/chart" uri="{C3380CC4-5D6E-409C-BE32-E72D297353CC}">
                    <c16:uniqueId val="{00000008-D034-4038-8EC8-010C123EF3FB}"/>
                  </c:ext>
                </c:extLst>
              </c15:ser>
            </c15:filteredLineSeries>
            <c15:filteredLineSeries>
              <c15:ser>
                <c:idx val="7"/>
                <c:order val="7"/>
                <c:tx>
                  <c:strRef>
                    <c:extLst xmlns:c15="http://schemas.microsoft.com/office/drawing/2012/chart">
                      <c:ext xmlns:c15="http://schemas.microsoft.com/office/drawing/2012/chart" uri="{02D57815-91ED-43cb-92C2-25804820EDAC}">
                        <c15:formulaRef>
                          <c15:sqref>Sheet1!$I$15</c15:sqref>
                        </c15:formulaRef>
                      </c:ext>
                    </c:extLst>
                    <c:strCache>
                      <c:ptCount val="1"/>
                      <c:pt idx="0">
                        <c:v>Black %</c:v>
                      </c:pt>
                    </c:strCache>
                  </c:strRef>
                </c:tx>
                <c:spPr>
                  <a:ln w="28575" cap="rnd">
                    <a:solidFill>
                      <a:schemeClr val="accent4">
                        <a:lumMod val="80000"/>
                        <a:lumOff val="20000"/>
                      </a:schemeClr>
                    </a:solidFill>
                    <a:round/>
                  </a:ln>
                  <a:effectLst/>
                </c:spPr>
                <c:marker>
                  <c:symbol val="none"/>
                </c:marker>
                <c:cat>
                  <c:numRef>
                    <c:extLst xmlns:c15="http://schemas.microsoft.com/office/drawing/2012/chart">
                      <c:ext xmlns:c15="http://schemas.microsoft.com/office/drawing/2012/chart" uri="{02D57815-91ED-43cb-92C2-25804820EDAC}">
                        <c15:formulaRef>
                          <c15:sqref>Sheet1!$A$16:$A$176</c15:sqref>
                        </c15:formulaRef>
                      </c:ext>
                    </c:extLst>
                    <c:numCache>
                      <c:formatCode>dd/mm/yyyy;@</c:formatCode>
                      <c:ptCount val="161"/>
                      <c:pt idx="0">
                        <c:v>45264</c:v>
                      </c:pt>
                      <c:pt idx="1">
                        <c:v>45271</c:v>
                      </c:pt>
                      <c:pt idx="2">
                        <c:v>45278</c:v>
                      </c:pt>
                      <c:pt idx="3">
                        <c:v>45285</c:v>
                      </c:pt>
                      <c:pt idx="4">
                        <c:v>45292</c:v>
                      </c:pt>
                      <c:pt idx="5">
                        <c:v>45299</c:v>
                      </c:pt>
                      <c:pt idx="6">
                        <c:v>45306</c:v>
                      </c:pt>
                      <c:pt idx="7">
                        <c:v>45313</c:v>
                      </c:pt>
                      <c:pt idx="8">
                        <c:v>45320</c:v>
                      </c:pt>
                      <c:pt idx="9">
                        <c:v>45327</c:v>
                      </c:pt>
                      <c:pt idx="10">
                        <c:v>45334</c:v>
                      </c:pt>
                      <c:pt idx="11">
                        <c:v>45341</c:v>
                      </c:pt>
                      <c:pt idx="12">
                        <c:v>45348</c:v>
                      </c:pt>
                      <c:pt idx="13">
                        <c:v>45355</c:v>
                      </c:pt>
                      <c:pt idx="14">
                        <c:v>45362</c:v>
                      </c:pt>
                      <c:pt idx="15">
                        <c:v>45369</c:v>
                      </c:pt>
                      <c:pt idx="16">
                        <c:v>45376</c:v>
                      </c:pt>
                      <c:pt idx="17">
                        <c:v>45383</c:v>
                      </c:pt>
                      <c:pt idx="18">
                        <c:v>45390</c:v>
                      </c:pt>
                      <c:pt idx="19" formatCode="m/d/yyyy">
                        <c:v>45397</c:v>
                      </c:pt>
                      <c:pt idx="20" formatCode="m/d/yyyy">
                        <c:v>45404</c:v>
                      </c:pt>
                      <c:pt idx="21" formatCode="m/d/yyyy">
                        <c:v>45411</c:v>
                      </c:pt>
                      <c:pt idx="22" formatCode="m/d/yyyy">
                        <c:v>45418</c:v>
                      </c:pt>
                      <c:pt idx="23" formatCode="m/d/yyyy">
                        <c:v>45425</c:v>
                      </c:pt>
                      <c:pt idx="24" formatCode="m/d/yyyy">
                        <c:v>45432</c:v>
                      </c:pt>
                      <c:pt idx="25" formatCode="m/d/yyyy">
                        <c:v>45439</c:v>
                      </c:pt>
                      <c:pt idx="26" formatCode="m/d/yyyy">
                        <c:v>45446</c:v>
                      </c:pt>
                      <c:pt idx="27" formatCode="m/d/yyyy">
                        <c:v>45453</c:v>
                      </c:pt>
                      <c:pt idx="28" formatCode="m/d/yyyy">
                        <c:v>45460</c:v>
                      </c:pt>
                      <c:pt idx="29" formatCode="m/d/yyyy">
                        <c:v>45467</c:v>
                      </c:pt>
                      <c:pt idx="30" formatCode="m/d/yyyy">
                        <c:v>45474</c:v>
                      </c:pt>
                      <c:pt idx="31" formatCode="m/d/yyyy">
                        <c:v>45481</c:v>
                      </c:pt>
                      <c:pt idx="32" formatCode="m/d/yyyy">
                        <c:v>45488</c:v>
                      </c:pt>
                      <c:pt idx="33" formatCode="m/d/yyyy">
                        <c:v>45495</c:v>
                      </c:pt>
                      <c:pt idx="34" formatCode="m/d/yyyy">
                        <c:v>45502</c:v>
                      </c:pt>
                      <c:pt idx="35" formatCode="m/d/yyyy">
                        <c:v>45509</c:v>
                      </c:pt>
                      <c:pt idx="36" formatCode="m/d/yyyy">
                        <c:v>45516</c:v>
                      </c:pt>
                      <c:pt idx="37" formatCode="m/d/yyyy">
                        <c:v>45523</c:v>
                      </c:pt>
                      <c:pt idx="38" formatCode="m/d/yyyy">
                        <c:v>45530</c:v>
                      </c:pt>
                      <c:pt idx="39" formatCode="m/d/yyyy">
                        <c:v>45537</c:v>
                      </c:pt>
                      <c:pt idx="40" formatCode="m/d/yyyy">
                        <c:v>45544</c:v>
                      </c:pt>
                      <c:pt idx="41" formatCode="m/d/yyyy">
                        <c:v>45551</c:v>
                      </c:pt>
                      <c:pt idx="42" formatCode="m/d/yyyy">
                        <c:v>45558</c:v>
                      </c:pt>
                      <c:pt idx="43" formatCode="m/d/yyyy">
                        <c:v>45565</c:v>
                      </c:pt>
                      <c:pt idx="44" formatCode="m/d/yyyy">
                        <c:v>45572</c:v>
                      </c:pt>
                      <c:pt idx="45" formatCode="m/d/yyyy">
                        <c:v>45579</c:v>
                      </c:pt>
                      <c:pt idx="46" formatCode="m/d/yyyy">
                        <c:v>45586</c:v>
                      </c:pt>
                      <c:pt idx="47" formatCode="m/d/yyyy">
                        <c:v>45593</c:v>
                      </c:pt>
                      <c:pt idx="48" formatCode="m/d/yyyy">
                        <c:v>45600</c:v>
                      </c:pt>
                      <c:pt idx="49" formatCode="m/d/yyyy">
                        <c:v>45607</c:v>
                      </c:pt>
                      <c:pt idx="50" formatCode="m/d/yyyy">
                        <c:v>45614</c:v>
                      </c:pt>
                      <c:pt idx="51" formatCode="m/d/yyyy">
                        <c:v>45621</c:v>
                      </c:pt>
                      <c:pt idx="52" formatCode="m/d/yyyy">
                        <c:v>45628</c:v>
                      </c:pt>
                      <c:pt idx="53" formatCode="m/d/yyyy">
                        <c:v>45635</c:v>
                      </c:pt>
                      <c:pt idx="54" formatCode="m/d/yyyy">
                        <c:v>45642</c:v>
                      </c:pt>
                      <c:pt idx="55" formatCode="m/d/yyyy">
                        <c:v>45649</c:v>
                      </c:pt>
                      <c:pt idx="56" formatCode="m/d/yyyy">
                        <c:v>45656</c:v>
                      </c:pt>
                      <c:pt idx="57" formatCode="m/d/yyyy">
                        <c:v>45663</c:v>
                      </c:pt>
                      <c:pt idx="58" formatCode="m/d/yyyy">
                        <c:v>45670</c:v>
                      </c:pt>
                      <c:pt idx="59" formatCode="m/d/yyyy">
                        <c:v>45677</c:v>
                      </c:pt>
                      <c:pt idx="60" formatCode="m/d/yyyy">
                        <c:v>45684</c:v>
                      </c:pt>
                      <c:pt idx="61" formatCode="m/d/yyyy">
                        <c:v>45691</c:v>
                      </c:pt>
                      <c:pt idx="62" formatCode="m/d/yyyy">
                        <c:v>45698</c:v>
                      </c:pt>
                      <c:pt idx="63" formatCode="m/d/yyyy">
                        <c:v>45705</c:v>
                      </c:pt>
                      <c:pt idx="64" formatCode="m/d/yyyy">
                        <c:v>45712</c:v>
                      </c:pt>
                      <c:pt idx="65" formatCode="m/d/yyyy">
                        <c:v>45719</c:v>
                      </c:pt>
                      <c:pt idx="66" formatCode="m/d/yyyy">
                        <c:v>45726</c:v>
                      </c:pt>
                      <c:pt idx="67" formatCode="m/d/yyyy">
                        <c:v>45733</c:v>
                      </c:pt>
                      <c:pt idx="68" formatCode="m/d/yyyy">
                        <c:v>45740</c:v>
                      </c:pt>
                      <c:pt idx="69" formatCode="m/d/yyyy">
                        <c:v>45747</c:v>
                      </c:pt>
                      <c:pt idx="70" formatCode="m/d/yyyy">
                        <c:v>45754</c:v>
                      </c:pt>
                      <c:pt idx="71" formatCode="m/d/yyyy">
                        <c:v>45761</c:v>
                      </c:pt>
                      <c:pt idx="72" formatCode="m/d/yyyy">
                        <c:v>45768</c:v>
                      </c:pt>
                      <c:pt idx="73" formatCode="m/d/yyyy">
                        <c:v>45775</c:v>
                      </c:pt>
                      <c:pt idx="74" formatCode="m/d/yyyy">
                        <c:v>45782</c:v>
                      </c:pt>
                      <c:pt idx="75" formatCode="m/d/yyyy">
                        <c:v>45789</c:v>
                      </c:pt>
                      <c:pt idx="76" formatCode="m/d/yyyy">
                        <c:v>45796</c:v>
                      </c:pt>
                      <c:pt idx="77" formatCode="m/d/yyyy">
                        <c:v>45803</c:v>
                      </c:pt>
                      <c:pt idx="78" formatCode="m/d/yyyy">
                        <c:v>45810</c:v>
                      </c:pt>
                      <c:pt idx="79" formatCode="m/d/yyyy">
                        <c:v>45817</c:v>
                      </c:pt>
                      <c:pt idx="80" formatCode="m/d/yyyy">
                        <c:v>45824</c:v>
                      </c:pt>
                      <c:pt idx="81" formatCode="m/d/yyyy">
                        <c:v>45831</c:v>
                      </c:pt>
                      <c:pt idx="82" formatCode="m/d/yyyy">
                        <c:v>45838</c:v>
                      </c:pt>
                      <c:pt idx="83" formatCode="m/d/yyyy">
                        <c:v>45845</c:v>
                      </c:pt>
                      <c:pt idx="84" formatCode="m/d/yyyy">
                        <c:v>45852</c:v>
                      </c:pt>
                      <c:pt idx="85" formatCode="m/d/yyyy">
                        <c:v>45859</c:v>
                      </c:pt>
                      <c:pt idx="86" formatCode="m/d/yyyy">
                        <c:v>45866</c:v>
                      </c:pt>
                      <c:pt idx="87" formatCode="m/d/yyyy">
                        <c:v>45873</c:v>
                      </c:pt>
                      <c:pt idx="88" formatCode="m/d/yyyy">
                        <c:v>45880</c:v>
                      </c:pt>
                      <c:pt idx="89" formatCode="m/d/yyyy">
                        <c:v>45887</c:v>
                      </c:pt>
                      <c:pt idx="90" formatCode="m/d/yyyy">
                        <c:v>45894</c:v>
                      </c:pt>
                      <c:pt idx="91" formatCode="m/d/yyyy">
                        <c:v>45901</c:v>
                      </c:pt>
                      <c:pt idx="92" formatCode="m/d/yyyy">
                        <c:v>45908</c:v>
                      </c:pt>
                      <c:pt idx="93" formatCode="m/d/yyyy">
                        <c:v>45915</c:v>
                      </c:pt>
                      <c:pt idx="94" formatCode="m/d/yyyy">
                        <c:v>45922</c:v>
                      </c:pt>
                      <c:pt idx="95" formatCode="m/d/yyyy">
                        <c:v>45929</c:v>
                      </c:pt>
                      <c:pt idx="96" formatCode="m/d/yyyy">
                        <c:v>45936</c:v>
                      </c:pt>
                      <c:pt idx="97" formatCode="m/d/yyyy">
                        <c:v>45943</c:v>
                      </c:pt>
                      <c:pt idx="98" formatCode="m/d/yyyy">
                        <c:v>45950</c:v>
                      </c:pt>
                      <c:pt idx="99" formatCode="m/d/yyyy">
                        <c:v>45957</c:v>
                      </c:pt>
                      <c:pt idx="100" formatCode="m/d/yyyy">
                        <c:v>45964</c:v>
                      </c:pt>
                      <c:pt idx="101" formatCode="m/d/yyyy">
                        <c:v>45971</c:v>
                      </c:pt>
                      <c:pt idx="102" formatCode="m/d/yyyy">
                        <c:v>45978</c:v>
                      </c:pt>
                      <c:pt idx="103" formatCode="m/d/yyyy">
                        <c:v>45985</c:v>
                      </c:pt>
                      <c:pt idx="104" formatCode="m/d/yyyy">
                        <c:v>45992</c:v>
                      </c:pt>
                      <c:pt idx="105" formatCode="m/d/yyyy">
                        <c:v>45999</c:v>
                      </c:pt>
                      <c:pt idx="106" formatCode="m/d/yyyy">
                        <c:v>46006</c:v>
                      </c:pt>
                      <c:pt idx="107" formatCode="m/d/yyyy">
                        <c:v>46013</c:v>
                      </c:pt>
                      <c:pt idx="108" formatCode="m/d/yyyy">
                        <c:v>46020</c:v>
                      </c:pt>
                      <c:pt idx="109" formatCode="m/d/yyyy">
                        <c:v>46027</c:v>
                      </c:pt>
                      <c:pt idx="110" formatCode="m/d/yyyy">
                        <c:v>46034</c:v>
                      </c:pt>
                      <c:pt idx="111" formatCode="m/d/yyyy">
                        <c:v>46041</c:v>
                      </c:pt>
                      <c:pt idx="112" formatCode="m/d/yyyy">
                        <c:v>46048</c:v>
                      </c:pt>
                      <c:pt idx="113" formatCode="m/d/yyyy">
                        <c:v>46055</c:v>
                      </c:pt>
                      <c:pt idx="114" formatCode="m/d/yyyy">
                        <c:v>46062</c:v>
                      </c:pt>
                      <c:pt idx="115" formatCode="m/d/yyyy">
                        <c:v>46069</c:v>
                      </c:pt>
                      <c:pt idx="116" formatCode="m/d/yyyy">
                        <c:v>46076</c:v>
                      </c:pt>
                      <c:pt idx="117" formatCode="m/d/yyyy">
                        <c:v>46083</c:v>
                      </c:pt>
                      <c:pt idx="118" formatCode="m/d/yyyy">
                        <c:v>46090</c:v>
                      </c:pt>
                      <c:pt idx="119" formatCode="m/d/yyyy">
                        <c:v>46097</c:v>
                      </c:pt>
                      <c:pt idx="120" formatCode="m/d/yyyy">
                        <c:v>46104</c:v>
                      </c:pt>
                      <c:pt idx="121" formatCode="m/d/yyyy">
                        <c:v>46111</c:v>
                      </c:pt>
                      <c:pt idx="122" formatCode="m/d/yyyy">
                        <c:v>46118</c:v>
                      </c:pt>
                      <c:pt idx="123" formatCode="m/d/yyyy">
                        <c:v>46125</c:v>
                      </c:pt>
                      <c:pt idx="124" formatCode="m/d/yyyy">
                        <c:v>46132</c:v>
                      </c:pt>
                      <c:pt idx="125" formatCode="m/d/yyyy">
                        <c:v>46139</c:v>
                      </c:pt>
                      <c:pt idx="126" formatCode="m/d/yyyy">
                        <c:v>46146</c:v>
                      </c:pt>
                      <c:pt idx="127" formatCode="m/d/yyyy">
                        <c:v>46153</c:v>
                      </c:pt>
                      <c:pt idx="128" formatCode="m/d/yyyy">
                        <c:v>46160</c:v>
                      </c:pt>
                      <c:pt idx="129" formatCode="m/d/yyyy">
                        <c:v>46167</c:v>
                      </c:pt>
                      <c:pt idx="130" formatCode="m/d/yyyy">
                        <c:v>46174</c:v>
                      </c:pt>
                      <c:pt idx="131" formatCode="m/d/yyyy">
                        <c:v>46181</c:v>
                      </c:pt>
                    </c:numCache>
                  </c:numRef>
                </c:cat>
                <c:val>
                  <c:numRef>
                    <c:extLst xmlns:c15="http://schemas.microsoft.com/office/drawing/2012/chart">
                      <c:ext xmlns:c15="http://schemas.microsoft.com/office/drawing/2012/chart" uri="{02D57815-91ED-43cb-92C2-25804820EDAC}">
                        <c15:formulaRef>
                          <c15:sqref>Sheet1!$I$16:$I$68</c15:sqref>
                        </c15:formulaRef>
                      </c:ext>
                    </c:extLst>
                    <c:numCache>
                      <c:formatCode>0.00%</c:formatCode>
                      <c:ptCount val="53"/>
                      <c:pt idx="0">
                        <c:v>1.7999999999999999E-2</c:v>
                      </c:pt>
                      <c:pt idx="1">
                        <c:v>4.7600000000000003E-2</c:v>
                      </c:pt>
                      <c:pt idx="2">
                        <c:v>5.2600000000000001E-2</c:v>
                      </c:pt>
                      <c:pt idx="3">
                        <c:v>9.2999999999999992E-3</c:v>
                      </c:pt>
                      <c:pt idx="4">
                        <c:v>1.54E-2</c:v>
                      </c:pt>
                      <c:pt idx="5">
                        <c:v>3.2300000000000002E-2</c:v>
                      </c:pt>
                      <c:pt idx="6">
                        <c:v>3.15E-2</c:v>
                      </c:pt>
                      <c:pt idx="7">
                        <c:v>7.7999999999999996E-3</c:v>
                      </c:pt>
                      <c:pt idx="8">
                        <c:v>4.1700000000000001E-2</c:v>
                      </c:pt>
                      <c:pt idx="9">
                        <c:v>4.2700000000000002E-2</c:v>
                      </c:pt>
                      <c:pt idx="10">
                        <c:v>4.8599999999999997E-2</c:v>
                      </c:pt>
                      <c:pt idx="11">
                        <c:v>7.3200000000000001E-2</c:v>
                      </c:pt>
                      <c:pt idx="12">
                        <c:v>4.07E-2</c:v>
                      </c:pt>
                      <c:pt idx="13">
                        <c:v>5.6000000000000001E-2</c:v>
                      </c:pt>
                      <c:pt idx="14">
                        <c:v>2.5600000000000001E-2</c:v>
                      </c:pt>
                      <c:pt idx="15">
                        <c:v>5.5599999999999997E-2</c:v>
                      </c:pt>
                      <c:pt idx="16">
                        <c:v>4.8000000000000001E-2</c:v>
                      </c:pt>
                      <c:pt idx="17">
                        <c:v>1.77E-2</c:v>
                      </c:pt>
                      <c:pt idx="18">
                        <c:v>3.2500000000000001E-2</c:v>
                      </c:pt>
                      <c:pt idx="19">
                        <c:v>2.4199999999999999E-2</c:v>
                      </c:pt>
                      <c:pt idx="20">
                        <c:v>0</c:v>
                      </c:pt>
                      <c:pt idx="21">
                        <c:v>1.6400000000000001E-2</c:v>
                      </c:pt>
                      <c:pt idx="22">
                        <c:v>8.0999999999999996E-3</c:v>
                      </c:pt>
                      <c:pt idx="23">
                        <c:v>1.4999999999999999E-2</c:v>
                      </c:pt>
                      <c:pt idx="24">
                        <c:v>8.8000000000000005E-3</c:v>
                      </c:pt>
                      <c:pt idx="25">
                        <c:v>2.5399999999999999E-2</c:v>
                      </c:pt>
                      <c:pt idx="26">
                        <c:v>8.3999999999999995E-3</c:v>
                      </c:pt>
                      <c:pt idx="27">
                        <c:v>1.54E-2</c:v>
                      </c:pt>
                      <c:pt idx="28">
                        <c:v>2.5000000000000001E-2</c:v>
                      </c:pt>
                      <c:pt idx="29">
                        <c:v>2.8E-3</c:v>
                      </c:pt>
                      <c:pt idx="30">
                        <c:v>0</c:v>
                      </c:pt>
                      <c:pt idx="31">
                        <c:v>1.8700000000000001E-2</c:v>
                      </c:pt>
                      <c:pt idx="32">
                        <c:v>8.3000000000000001E-3</c:v>
                      </c:pt>
                      <c:pt idx="33">
                        <c:v>8.3999999999999995E-3</c:v>
                      </c:pt>
                      <c:pt idx="34">
                        <c:v>0</c:v>
                      </c:pt>
                      <c:pt idx="35">
                        <c:v>8.3000000000000001E-3</c:v>
                      </c:pt>
                      <c:pt idx="36">
                        <c:v>0</c:v>
                      </c:pt>
                      <c:pt idx="37">
                        <c:v>9.1000000000000004E-3</c:v>
                      </c:pt>
                      <c:pt idx="38">
                        <c:v>9.7000000000000003E-3</c:v>
                      </c:pt>
                      <c:pt idx="39">
                        <c:v>0.01</c:v>
                      </c:pt>
                      <c:pt idx="40">
                        <c:v>1.7899999999999999E-2</c:v>
                      </c:pt>
                      <c:pt idx="41">
                        <c:v>3.0300000000000001E-2</c:v>
                      </c:pt>
                      <c:pt idx="42">
                        <c:v>1.8700000000000001E-2</c:v>
                      </c:pt>
                      <c:pt idx="43">
                        <c:v>2.5600000000000001E-2</c:v>
                      </c:pt>
                      <c:pt idx="44">
                        <c:v>0</c:v>
                      </c:pt>
                      <c:pt idx="45">
                        <c:v>0</c:v>
                      </c:pt>
                      <c:pt idx="46">
                        <c:v>0</c:v>
                      </c:pt>
                      <c:pt idx="47">
                        <c:v>8.0999999999999996E-3</c:v>
                      </c:pt>
                      <c:pt idx="48">
                        <c:v>1.67E-2</c:v>
                      </c:pt>
                      <c:pt idx="49">
                        <c:v>4.1300000000000003E-2</c:v>
                      </c:pt>
                      <c:pt idx="50">
                        <c:v>1.7999999999999999E-2</c:v>
                      </c:pt>
                      <c:pt idx="51">
                        <c:v>3.5099999999999999E-2</c:v>
                      </c:pt>
                      <c:pt idx="52">
                        <c:v>1.8500000000000003E-2</c:v>
                      </c:pt>
                    </c:numCache>
                  </c:numRef>
                </c:val>
                <c:smooth val="0"/>
                <c:extLst xmlns:c15="http://schemas.microsoft.com/office/drawing/2012/chart">
                  <c:ext xmlns:c16="http://schemas.microsoft.com/office/drawing/2014/chart" uri="{C3380CC4-5D6E-409C-BE32-E72D297353CC}">
                    <c16:uniqueId val="{00000009-D034-4038-8EC8-010C123EF3FB}"/>
                  </c:ext>
                </c:extLst>
              </c15:ser>
            </c15:filteredLineSeries>
          </c:ext>
        </c:extLst>
      </c:lineChart>
      <c:dateAx>
        <c:axId val="868175680"/>
        <c:scaling>
          <c:orientation val="minMax"/>
          <c:max val="46181"/>
          <c:min val="45264"/>
        </c:scaling>
        <c:delete val="0"/>
        <c:axPos val="b"/>
        <c:numFmt formatCode="dd/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170400"/>
        <c:crosses val="autoZero"/>
        <c:auto val="0"/>
        <c:lblOffset val="100"/>
        <c:baseTimeUnit val="days"/>
        <c:majorUnit val="1"/>
        <c:majorTimeUnit val="months"/>
      </c:dateAx>
      <c:valAx>
        <c:axId val="86817040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17568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63DB820E5A3540BDD5417A00B87360" ma:contentTypeVersion="5" ma:contentTypeDescription="Create a new document." ma:contentTypeScope="" ma:versionID="1a29315e4e67181172bbae166d77311b">
  <xsd:schema xmlns:xsd="http://www.w3.org/2001/XMLSchema" xmlns:xs="http://www.w3.org/2001/XMLSchema" xmlns:p="http://schemas.microsoft.com/office/2006/metadata/properties" xmlns:ns3="77a717c3-b272-4362-8128-4b649e0f31ae" targetNamespace="http://schemas.microsoft.com/office/2006/metadata/properties" ma:root="true" ma:fieldsID="9e81963932514fb0125ecfb535260aae" ns3:_="">
    <xsd:import namespace="77a717c3-b272-4362-8128-4b649e0f31a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717c3-b272-4362-8128-4b649e0f31a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C2F07-1A7A-4B01-9157-1337100794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445EBB-351D-4D7E-A5AA-63FCD9C28E36}">
  <ds:schemaRefs>
    <ds:schemaRef ds:uri="http://schemas.microsoft.com/sharepoint/v3/contenttype/forms"/>
  </ds:schemaRefs>
</ds:datastoreItem>
</file>

<file path=customXml/itemProps3.xml><?xml version="1.0" encoding="utf-8"?>
<ds:datastoreItem xmlns:ds="http://schemas.openxmlformats.org/officeDocument/2006/customXml" ds:itemID="{27E5BAE5-2DD4-408D-80B3-7445D7C5B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717c3-b272-4362-8128-4b649e0f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9B87B1-DF2E-4844-8135-F954C60C9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1365</Words>
  <Characters>7782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Florence</dc:creator>
  <cp:keywords/>
  <dc:description/>
  <cp:lastModifiedBy>Marco Florence</cp:lastModifiedBy>
  <cp:revision>4</cp:revision>
  <dcterms:created xsi:type="dcterms:W3CDTF">2026-06-25T08:51:00Z</dcterms:created>
  <dcterms:modified xsi:type="dcterms:W3CDTF">2026-07-13T13:55:00Z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0x0101003E63DB820E5A3540BDD5417A00B87360</vt:lpwstr>
  </property>
</Properties>
</file>